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15th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cottages to form 1 house, erection of wall, raised decked area,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Wightman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Shillinghill</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Textual changes to the specification of the porch frame material only. All technical specifications to remain as shown on the original drawings. Change the word "Oak" where shown on the amended drawings to "Timber"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Shillinghill Humbie East Lothian EH36 5PX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erection of garage, alterations to outbuilding to form ancillary residential accommodation</w:t>
            </w:r>
          </w:p>
          <w:p>
            <w:pPr>
              <w:pStyle w:val="P4"/>
              <w:rPr>
                <w:rFonts w:ascii="Arial" w:hAnsi="Arial" w:cs="Arial"/>
                <w:bCs w:val="1"/>
                <w:lang w:val="en-GB" w:bidi="ar-SA" w:eastAsia="en-US"/>
              </w:rPr>
            </w:pPr>
            <w:r>
              <w:rPr>
                <w:rFonts w:ascii="Arial" w:hAnsi="Arial" w:cs="Arial"/>
                <w:bCs w:val="1"/>
              </w:rPr>
              <w:t>Proposed alterations to rear windows and doors. Formation of new double garage to side of property and refurbishment and conversion of existing former 'school house' into living accommodation ancillary to main dwelling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Alterations to house and outbuilding </w:t>
            </w:r>
          </w:p>
          <w:p>
            <w:pPr>
              <w:pStyle w:val="P4"/>
              <w:rPr>
                <w:rFonts w:ascii="Arial" w:hAnsi="Arial" w:cs="Arial"/>
                <w:bCs w:val="1"/>
                <w:lang w:val="en-GB" w:bidi="ar-SA" w:eastAsia="en-US"/>
              </w:rPr>
            </w:pPr>
            <w:r>
              <w:rPr>
                <w:rFonts w:ascii="Arial" w:hAnsi="Arial" w:cs="Arial"/>
                <w:bCs w:val="1"/>
              </w:rPr>
              <w:t>Proposed alterations to rear windows and doors, lowering cill of existing Manse window. Widening of existing windows and door to existing non-original extension to the rear. Formation of new double garage to side of existing Manse. Refurbishment and conversion of existing garage, former school house, to living accommodation ancillary to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Firth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89 Magdalene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Brian Currie</w:t>
            </w:r>
          </w:p>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and pedestrian access to Meadowmill Cottages from land to the south and erection of fieldgate and footway crossing.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Meadowmill Cottages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side and rear of existing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mutual chimney and rebuild of new chimney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buidling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Peppercraig Quarry Industrial Site Haddington East Lothian EH41 3SG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1 bay of a 3 bay agricultural shed to a sports coaching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Holdings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Flat 2 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Haddington 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Adaptation of existing window opening to form 2no. external doors with associated external hard landscaping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 Queen Margaret University Drive Stoneybank Musselburgh EH21 6UU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Stoneybank Musselburgh EH21 6SA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2023-12-18T08:00:29Z</dcterms:modified>
  <cp:revision>17</cp:revision>
</cp:coreProperties>
</file>