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23rd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Dillon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2 Tynemount Cottages Ormiston East Lothian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and installation of EV charger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Longniddry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existing shop entrance door is to be removed and a new solid hardwood timber half glazed door fitted in the existing opening. The new door will be two panel half glazed toughened painted RNLI Blue. 8nr Thermowood heat treated timber display slats are to be fitted with 4nr equally spaced either side of the northeast window, slotted to accept wire fittings to display small retail items. The retail slats will be removed and stored in the shop at close of business and refitted the following day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roof of garage building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lower and upper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Rear Of No.50</w:t>
            </w:r>
          </w:p>
          <w:p>
            <w:pPr>
              <w:pStyle w:val="P4"/>
              <w:rPr>
                <w:rFonts w:ascii="Arial" w:hAnsi="Arial" w:cs="Arial"/>
                <w:bCs w:val="1"/>
              </w:rPr>
            </w:pPr>
            <w:r>
              <w:rPr>
                <w:rFonts w:ascii="Arial" w:hAnsi="Arial" w:cs="Arial"/>
                <w:bCs w:val="1"/>
              </w:rPr>
              <w:t>Bridge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to form new vehicular access from new street to the land at the rear of 50 Bridge street, Tranent.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Bridge Street Tranent East Lothian EH33 1AL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 within application 23/00959</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.22/01013/NMV1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Old Mill Lane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9GB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Elevation:- The proposed sliding doors with external steps, the dining room window, the corner window with the steel lintel above and the two new rooflights have all been removed and replaced with a new set of sliding doors to the dining room and a new floor to ceiling window to the kitchen. The two existing windows to the kitchen and living room remain in their current location.  </w:t>
            </w:r>
          </w:p>
          <w:p>
            <w:pPr>
              <w:pStyle w:val="P4"/>
              <w:rPr>
                <w:rFonts w:ascii="Arial" w:hAnsi="Arial" w:cs="Arial"/>
                <w:bCs w:val="1"/>
                <w:lang w:val="en-GB" w:bidi="ar-SA" w:eastAsia="en-US"/>
              </w:rPr>
            </w:pPr>
            <w:r>
              <w:rPr>
                <w:rFonts w:ascii="Arial" w:hAnsi="Arial" w:cs="Arial"/>
                <w:bCs w:val="1"/>
              </w:rPr>
              <w:t>Side Elevation:- The proposed corner window with the steel lintel and triangular window above, the new back door and the stainless steel flue have all been removed and replaced with a new floor to ceiling window. The existing back door remains in its current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Old Mill Lane Gifford East Lothian EH41 4QQ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outlet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3</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2024-02-26T08:07:04Z</dcterms:modified>
  <cp:revision>17</cp:revision>
</cp:coreProperties>
</file>