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7172" w14:textId="77777777" w:rsidR="00E74182" w:rsidRDefault="00483D9F" w:rsidP="008412EE">
      <w:pPr>
        <w:pStyle w:val="CommentText"/>
        <w:jc w:val="both"/>
        <w:rPr>
          <w:rFonts w:cs="Arial"/>
          <w:noProof/>
          <w:lang w:val="en-US"/>
        </w:rPr>
      </w:pPr>
      <w:r>
        <w:rPr>
          <w:rFonts w:cs="Arial"/>
          <w:noProof/>
          <w:lang w:eastAsia="en-GB"/>
        </w:rPr>
        <w:drawing>
          <wp:anchor distT="0" distB="0" distL="114300" distR="114300" simplePos="0" relativeHeight="251656704" behindDoc="0" locked="0" layoutInCell="0" allowOverlap="1" wp14:anchorId="77875BD4" wp14:editId="1EDAC5D6">
            <wp:simplePos x="0" y="0"/>
            <wp:positionH relativeFrom="column">
              <wp:posOffset>3895725</wp:posOffset>
            </wp:positionH>
            <wp:positionV relativeFrom="paragraph">
              <wp:posOffset>-742950</wp:posOffset>
            </wp:positionV>
            <wp:extent cx="2084070" cy="1064260"/>
            <wp:effectExtent l="19050" t="0" r="0" b="0"/>
            <wp:wrapTight wrapText="bothSides">
              <wp:wrapPolygon edited="0">
                <wp:start x="-197" y="0"/>
                <wp:lineTo x="-197" y="21265"/>
                <wp:lineTo x="21521" y="21265"/>
                <wp:lineTo x="21521" y="0"/>
                <wp:lineTo x="-197" y="0"/>
              </wp:wrapPolygon>
            </wp:wrapTight>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8" cstate="print">
                      <a:lum contrast="18000"/>
                      <a:grayscl/>
                    </a:blip>
                    <a:srcRect/>
                    <a:stretch>
                      <a:fillRect/>
                    </a:stretch>
                  </pic:blipFill>
                  <pic:spPr bwMode="auto">
                    <a:xfrm>
                      <a:off x="0" y="0"/>
                      <a:ext cx="2084070" cy="1064260"/>
                    </a:xfrm>
                    <a:prstGeom prst="rect">
                      <a:avLst/>
                    </a:prstGeom>
                    <a:noFill/>
                    <a:ln w="9525">
                      <a:noFill/>
                      <a:miter lim="800000"/>
                      <a:headEnd/>
                      <a:tailEnd/>
                    </a:ln>
                  </pic:spPr>
                </pic:pic>
              </a:graphicData>
            </a:graphic>
          </wp:anchor>
        </w:drawing>
      </w:r>
    </w:p>
    <w:p w14:paraId="4EA6022C" w14:textId="77777777" w:rsidR="00E74182" w:rsidRDefault="00E74182" w:rsidP="008412EE">
      <w:pPr>
        <w:jc w:val="both"/>
        <w:rPr>
          <w:rFonts w:cs="Arial"/>
        </w:rPr>
      </w:pPr>
    </w:p>
    <w:p w14:paraId="51AE3111" w14:textId="77777777" w:rsidR="00A567D6" w:rsidRDefault="00A567D6" w:rsidP="00007AB2">
      <w:pPr>
        <w:pStyle w:val="ELC-Title"/>
        <w:ind w:left="2835" w:right="0" w:hanging="2835"/>
        <w:jc w:val="both"/>
        <w:rPr>
          <w:rFonts w:cs="Arial"/>
        </w:rPr>
      </w:pPr>
    </w:p>
    <w:p w14:paraId="229D4646" w14:textId="77777777" w:rsidR="00A567D6" w:rsidRDefault="00A567D6" w:rsidP="00007AB2">
      <w:pPr>
        <w:pStyle w:val="ELC-Title"/>
        <w:ind w:left="2835" w:right="0" w:hanging="2835"/>
        <w:jc w:val="both"/>
        <w:rPr>
          <w:rFonts w:cs="Arial"/>
        </w:rPr>
      </w:pPr>
    </w:p>
    <w:p w14:paraId="069DB0E4" w14:textId="77777777" w:rsidR="00A567D6" w:rsidRDefault="00A567D6" w:rsidP="00007AB2">
      <w:pPr>
        <w:pStyle w:val="ELC-Title"/>
        <w:ind w:left="2835" w:right="0" w:hanging="2835"/>
        <w:jc w:val="both"/>
        <w:rPr>
          <w:rFonts w:cs="Arial"/>
        </w:rPr>
      </w:pPr>
    </w:p>
    <w:p w14:paraId="6CDBA5A9" w14:textId="77777777" w:rsidR="00D921E6" w:rsidRDefault="00D921E6" w:rsidP="000960A9">
      <w:pPr>
        <w:pStyle w:val="ELC-Title"/>
        <w:ind w:left="2835" w:right="0" w:hanging="2835"/>
        <w:jc w:val="both"/>
        <w:rPr>
          <w:rFonts w:cs="Arial"/>
        </w:rPr>
      </w:pPr>
    </w:p>
    <w:p w14:paraId="634BA30D" w14:textId="77777777" w:rsidR="00D921E6" w:rsidRDefault="00D921E6" w:rsidP="000960A9">
      <w:pPr>
        <w:pStyle w:val="ELC-Title"/>
        <w:ind w:left="2835" w:right="0" w:hanging="2835"/>
        <w:jc w:val="both"/>
        <w:rPr>
          <w:rFonts w:cs="Arial"/>
        </w:rPr>
      </w:pPr>
    </w:p>
    <w:p w14:paraId="0E8705D7" w14:textId="77777777" w:rsidR="00D921E6" w:rsidRDefault="00D921E6" w:rsidP="000960A9">
      <w:pPr>
        <w:pStyle w:val="ELC-Title"/>
        <w:ind w:left="2835" w:right="0" w:hanging="2835"/>
        <w:jc w:val="both"/>
        <w:rPr>
          <w:rFonts w:cs="Arial"/>
        </w:rPr>
      </w:pPr>
    </w:p>
    <w:p w14:paraId="5D0B0976" w14:textId="1977D50F" w:rsidR="000960A9" w:rsidRDefault="000960A9" w:rsidP="000960A9">
      <w:pPr>
        <w:pStyle w:val="ELC-Title"/>
        <w:ind w:left="2835" w:right="0" w:hanging="2835"/>
        <w:jc w:val="both"/>
        <w:rPr>
          <w:rFonts w:cs="Arial"/>
          <w:caps w:val="0"/>
        </w:rPr>
      </w:pPr>
      <w:r>
        <w:rPr>
          <w:rFonts w:cs="Arial"/>
        </w:rPr>
        <w:t xml:space="preserve">REPORT TO: </w:t>
      </w:r>
      <w:r>
        <w:rPr>
          <w:rFonts w:cs="Arial"/>
        </w:rPr>
        <w:tab/>
      </w:r>
      <w:r w:rsidR="00492FF9">
        <w:rPr>
          <w:rFonts w:cs="Arial"/>
          <w:b w:val="0"/>
          <w:caps w:val="0"/>
        </w:rPr>
        <w:t xml:space="preserve">Joint Consultative Committee </w:t>
      </w:r>
    </w:p>
    <w:p w14:paraId="0B76E28A" w14:textId="77777777" w:rsidR="000960A9" w:rsidRDefault="000960A9" w:rsidP="000960A9">
      <w:pPr>
        <w:pStyle w:val="Footer"/>
        <w:tabs>
          <w:tab w:val="clear" w:pos="4320"/>
          <w:tab w:val="clear" w:pos="8640"/>
        </w:tabs>
        <w:ind w:left="2835" w:hanging="2835"/>
        <w:jc w:val="both"/>
        <w:rPr>
          <w:rFonts w:cs="Arial"/>
          <w:b w:val="0"/>
          <w:bCs/>
        </w:rPr>
      </w:pPr>
    </w:p>
    <w:p w14:paraId="7D42C093" w14:textId="77777777" w:rsidR="000960A9" w:rsidRDefault="000960A9" w:rsidP="000960A9">
      <w:pPr>
        <w:ind w:left="2835" w:hanging="2835"/>
        <w:jc w:val="both"/>
        <w:rPr>
          <w:rFonts w:cs="Arial"/>
          <w:b/>
        </w:rPr>
      </w:pPr>
      <w:r>
        <w:rPr>
          <w:rFonts w:cs="Arial"/>
          <w:b/>
        </w:rPr>
        <w:t xml:space="preserve">BY: </w:t>
      </w:r>
      <w:r>
        <w:rPr>
          <w:rFonts w:cs="Arial"/>
          <w:b/>
        </w:rPr>
        <w:tab/>
      </w:r>
      <w:r w:rsidRPr="00A567D6">
        <w:rPr>
          <w:rFonts w:cs="Arial"/>
        </w:rPr>
        <w:t>Executive Director for Council Resources</w:t>
      </w:r>
    </w:p>
    <w:p w14:paraId="04E2D2EC" w14:textId="77777777" w:rsidR="000960A9" w:rsidRPr="00515775" w:rsidRDefault="000960A9" w:rsidP="000960A9">
      <w:pPr>
        <w:ind w:left="2835" w:hanging="2835"/>
        <w:jc w:val="both"/>
        <w:rPr>
          <w:rFonts w:cs="Arial"/>
          <w:b/>
        </w:rPr>
      </w:pPr>
      <w:r>
        <w:rPr>
          <w:rFonts w:cs="Arial"/>
          <w:b/>
        </w:rPr>
        <w:tab/>
      </w:r>
      <w:r>
        <w:rPr>
          <w:rFonts w:cs="Arial"/>
          <w:bCs/>
        </w:rPr>
        <w:tab/>
      </w:r>
    </w:p>
    <w:p w14:paraId="6A97DCEA" w14:textId="584ABD59" w:rsidR="00A567D6" w:rsidRDefault="000960A9" w:rsidP="000960A9">
      <w:pPr>
        <w:pStyle w:val="ELC-Title"/>
        <w:ind w:left="2835" w:right="0" w:hanging="2835"/>
        <w:jc w:val="both"/>
        <w:rPr>
          <w:rFonts w:cs="Arial"/>
        </w:rPr>
      </w:pPr>
      <w:r>
        <w:rPr>
          <w:rFonts w:cs="Arial"/>
        </w:rPr>
        <w:t xml:space="preserve">SUBJECT: </w:t>
      </w:r>
      <w:r>
        <w:rPr>
          <w:rFonts w:cs="Arial"/>
        </w:rPr>
        <w:tab/>
      </w:r>
      <w:r w:rsidRPr="00A567D6">
        <w:rPr>
          <w:rFonts w:cs="Arial"/>
        </w:rPr>
        <w:t>Employee Equal Pay Audit</w:t>
      </w:r>
      <w:r w:rsidR="007A3AB2">
        <w:rPr>
          <w:rFonts w:cs="Arial"/>
        </w:rPr>
        <w:t xml:space="preserve"> REPORT </w:t>
      </w:r>
      <w:r w:rsidRPr="00A567D6">
        <w:rPr>
          <w:rFonts w:cs="Arial"/>
        </w:rPr>
        <w:t>(202</w:t>
      </w:r>
      <w:r w:rsidR="00E16CAF">
        <w:rPr>
          <w:rFonts w:cs="Arial"/>
        </w:rPr>
        <w:t>3</w:t>
      </w:r>
      <w:r w:rsidRPr="00A567D6">
        <w:rPr>
          <w:rFonts w:cs="Arial"/>
        </w:rPr>
        <w:t>-2</w:t>
      </w:r>
      <w:r w:rsidR="00E16CAF">
        <w:rPr>
          <w:rFonts w:cs="Arial"/>
        </w:rPr>
        <w:t>4</w:t>
      </w:r>
      <w:r w:rsidRPr="00A567D6">
        <w:rPr>
          <w:rFonts w:cs="Arial"/>
        </w:rPr>
        <w:t>)</w:t>
      </w:r>
    </w:p>
    <w:p w14:paraId="4A27BF07" w14:textId="378E9AE9" w:rsidR="00E74182" w:rsidRPr="00E017DE" w:rsidRDefault="00E74182" w:rsidP="00E017DE">
      <w:pPr>
        <w:ind w:left="2835" w:hanging="2835"/>
        <w:jc w:val="both"/>
        <w:rPr>
          <w:rFonts w:cs="Arial"/>
        </w:rPr>
      </w:pPr>
      <w:r>
        <w:rPr>
          <w:rFonts w:cs="Arial"/>
          <w:b/>
        </w:rPr>
        <w:tab/>
      </w:r>
    </w:p>
    <w:p w14:paraId="10089759" w14:textId="5A912F41" w:rsidR="00E74182" w:rsidRDefault="00E74182" w:rsidP="005D6FF2">
      <w:pPr>
        <w:pBdr>
          <w:bottom w:val="single" w:sz="4" w:space="3" w:color="auto"/>
        </w:pBdr>
        <w:jc w:val="both"/>
        <w:rPr>
          <w:rFonts w:cs="Arial"/>
        </w:rPr>
      </w:pPr>
      <w:r>
        <w:rPr>
          <w:rFonts w:cs="Arial"/>
          <w:bCs/>
        </w:rPr>
        <w:tab/>
      </w:r>
    </w:p>
    <w:p w14:paraId="34A2EB67" w14:textId="77777777" w:rsidR="00E74182" w:rsidRDefault="00E74182" w:rsidP="008412EE">
      <w:pPr>
        <w:jc w:val="both"/>
        <w:rPr>
          <w:rFonts w:cs="Arial"/>
        </w:rPr>
      </w:pPr>
    </w:p>
    <w:p w14:paraId="61860F92" w14:textId="77777777" w:rsidR="00A55CE7" w:rsidRDefault="00A55CE7" w:rsidP="00A55CE7">
      <w:pPr>
        <w:pStyle w:val="ELC-ParaTitle"/>
        <w:numPr>
          <w:ilvl w:val="0"/>
          <w:numId w:val="0"/>
        </w:numPr>
        <w:tabs>
          <w:tab w:val="clear" w:pos="680"/>
        </w:tabs>
        <w:jc w:val="both"/>
        <w:rPr>
          <w:rFonts w:cs="Arial"/>
        </w:rPr>
      </w:pPr>
    </w:p>
    <w:p w14:paraId="52CE174E" w14:textId="6945696E" w:rsidR="00F1593E" w:rsidRDefault="00F1593E" w:rsidP="00A55CE7">
      <w:pPr>
        <w:pStyle w:val="ELC-ParaTitle"/>
        <w:tabs>
          <w:tab w:val="clear" w:pos="420"/>
          <w:tab w:val="clear" w:pos="680"/>
        </w:tabs>
        <w:ind w:left="720" w:hanging="720"/>
        <w:jc w:val="both"/>
        <w:rPr>
          <w:rFonts w:cs="Arial"/>
        </w:rPr>
      </w:pPr>
      <w:r>
        <w:rPr>
          <w:rFonts w:cs="Arial"/>
        </w:rPr>
        <w:t>PURPOSE</w:t>
      </w:r>
    </w:p>
    <w:p w14:paraId="1E3DFCEF" w14:textId="5279C3E6" w:rsidR="00F1593E" w:rsidRDefault="00F1593E" w:rsidP="00C466FD">
      <w:pPr>
        <w:pStyle w:val="ELC-ParaTitle2"/>
        <w:tabs>
          <w:tab w:val="clear" w:pos="420"/>
          <w:tab w:val="num" w:pos="709"/>
        </w:tabs>
        <w:ind w:left="709" w:hanging="709"/>
      </w:pPr>
      <w:r>
        <w:t>To provide the Joint Consultative Committee (JCC) with the details of the 2023/2024 Equal Pay Report</w:t>
      </w:r>
      <w:r w:rsidR="00C466FD">
        <w:t>.</w:t>
      </w:r>
    </w:p>
    <w:p w14:paraId="36BEF7DC" w14:textId="77777777" w:rsidR="00F1593E" w:rsidRDefault="00F1593E" w:rsidP="00F1593E">
      <w:pPr>
        <w:pStyle w:val="ELC-ParaTitle2"/>
        <w:numPr>
          <w:ilvl w:val="0"/>
          <w:numId w:val="0"/>
        </w:numPr>
        <w:ind w:left="420"/>
      </w:pPr>
    </w:p>
    <w:p w14:paraId="1B61B5B1" w14:textId="02500767" w:rsidR="00F1593E" w:rsidRPr="00F1593E" w:rsidRDefault="00F1593E" w:rsidP="00F1593E">
      <w:pPr>
        <w:pStyle w:val="ELC-ParaTitle2"/>
        <w:numPr>
          <w:ilvl w:val="0"/>
          <w:numId w:val="0"/>
        </w:numPr>
        <w:ind w:left="420" w:hanging="420"/>
        <w:rPr>
          <w:b/>
          <w:bCs w:val="0"/>
        </w:rPr>
      </w:pPr>
      <w:r w:rsidRPr="00F1593E">
        <w:rPr>
          <w:b/>
          <w:bCs w:val="0"/>
        </w:rPr>
        <w:t>2</w:t>
      </w:r>
      <w:r w:rsidRPr="00F1593E">
        <w:rPr>
          <w:b/>
          <w:bCs w:val="0"/>
        </w:rPr>
        <w:tab/>
      </w:r>
      <w:r w:rsidRPr="00F1593E">
        <w:rPr>
          <w:b/>
          <w:bCs w:val="0"/>
        </w:rPr>
        <w:tab/>
        <w:t>RECOMMENDATIONS</w:t>
      </w:r>
    </w:p>
    <w:p w14:paraId="4B670E54" w14:textId="4B9F11E2" w:rsidR="00F1593E" w:rsidRPr="00F1593E" w:rsidRDefault="00C466FD" w:rsidP="00F1593E">
      <w:pPr>
        <w:pStyle w:val="ELC-ParaTitle2"/>
        <w:numPr>
          <w:ilvl w:val="0"/>
          <w:numId w:val="0"/>
        </w:numPr>
        <w:ind w:left="420" w:hanging="420"/>
      </w:pPr>
      <w:r>
        <w:t>2.1</w:t>
      </w:r>
      <w:r>
        <w:tab/>
      </w:r>
      <w:r w:rsidR="00F1593E">
        <w:tab/>
      </w:r>
      <w:r>
        <w:t>The</w:t>
      </w:r>
      <w:r w:rsidR="00F1593E" w:rsidRPr="00F1593E">
        <w:t xml:space="preserve"> JCC </w:t>
      </w:r>
      <w:r>
        <w:t xml:space="preserve">are asked to </w:t>
      </w:r>
      <w:r w:rsidR="00F1593E" w:rsidRPr="00F1593E">
        <w:t>note this paper</w:t>
      </w:r>
      <w:r w:rsidR="00F1593E">
        <w:t>.</w:t>
      </w:r>
    </w:p>
    <w:p w14:paraId="6B86DE0B" w14:textId="77777777" w:rsidR="00F1593E" w:rsidRDefault="00F1593E" w:rsidP="00F1593E">
      <w:pPr>
        <w:pStyle w:val="ELC-ParaTitle"/>
        <w:numPr>
          <w:ilvl w:val="0"/>
          <w:numId w:val="0"/>
        </w:numPr>
        <w:tabs>
          <w:tab w:val="clear" w:pos="680"/>
        </w:tabs>
        <w:jc w:val="both"/>
        <w:rPr>
          <w:rFonts w:cs="Arial"/>
        </w:rPr>
      </w:pPr>
    </w:p>
    <w:p w14:paraId="59E36090" w14:textId="77777777" w:rsidR="00F1593E" w:rsidRDefault="00F1593E" w:rsidP="00F1593E">
      <w:pPr>
        <w:pStyle w:val="ELC-ParaTitle"/>
        <w:numPr>
          <w:ilvl w:val="0"/>
          <w:numId w:val="43"/>
        </w:numPr>
        <w:tabs>
          <w:tab w:val="clear" w:pos="680"/>
        </w:tabs>
        <w:jc w:val="both"/>
        <w:rPr>
          <w:rFonts w:cs="Arial"/>
        </w:rPr>
      </w:pPr>
      <w:r w:rsidRPr="00F1593E">
        <w:rPr>
          <w:rFonts w:cs="Arial"/>
        </w:rPr>
        <w:tab/>
      </w:r>
      <w:r w:rsidR="00E74182" w:rsidRPr="00F1593E">
        <w:rPr>
          <w:rFonts w:cs="Arial"/>
        </w:rPr>
        <w:t>BACKGROUND</w:t>
      </w:r>
    </w:p>
    <w:p w14:paraId="5410E7D4" w14:textId="32886EB7" w:rsidR="004A736C" w:rsidRPr="00F1593E" w:rsidRDefault="00F1593E" w:rsidP="00F1593E">
      <w:pPr>
        <w:pStyle w:val="ELC-ParaTitle2"/>
        <w:tabs>
          <w:tab w:val="clear" w:pos="420"/>
          <w:tab w:val="num" w:pos="851"/>
        </w:tabs>
        <w:ind w:left="709" w:hanging="709"/>
        <w:rPr>
          <w:rFonts w:cs="Arial"/>
        </w:rPr>
      </w:pPr>
      <w:r>
        <w:t xml:space="preserve"> </w:t>
      </w:r>
      <w:r w:rsidR="004A736C" w:rsidRPr="0019006B">
        <w:t>East Lothian Council is currently bound by duties arising from the Equality Act 2010 (Specific Duties and Public Authorities</w:t>
      </w:r>
      <w:r w:rsidR="00D37751">
        <w:t>)</w:t>
      </w:r>
      <w:r w:rsidR="004A736C" w:rsidRPr="0019006B">
        <w:t xml:space="preserve"> Regulation 201</w:t>
      </w:r>
      <w:r w:rsidR="0050201D">
        <w:t>2</w:t>
      </w:r>
      <w:r w:rsidR="004A736C" w:rsidRPr="0019006B">
        <w:t xml:space="preserve"> which sets out that public bodies with more than 250 employees (20 employees in Scotland) must </w:t>
      </w:r>
      <w:r w:rsidR="004A736C" w:rsidRPr="00AE6338">
        <w:t>report on gender</w:t>
      </w:r>
      <w:r w:rsidR="00A567D6">
        <w:t xml:space="preserve"> issues. The C</w:t>
      </w:r>
      <w:r w:rsidR="004A736C" w:rsidRPr="0019006B">
        <w:t xml:space="preserve">ouncil must comply with regulations for any year where </w:t>
      </w:r>
      <w:r w:rsidR="00695345">
        <w:t>it has</w:t>
      </w:r>
      <w:r w:rsidR="004A736C" w:rsidRPr="0019006B">
        <w:t xml:space="preserve"> a headcount of 2</w:t>
      </w:r>
      <w:r w:rsidR="00D37751">
        <w:t>0</w:t>
      </w:r>
      <w:r w:rsidR="004A736C" w:rsidRPr="0019006B">
        <w:t xml:space="preserve"> or more empl</w:t>
      </w:r>
      <w:r w:rsidR="00A567D6">
        <w:t>oyees on the snapshot date (31</w:t>
      </w:r>
      <w:r w:rsidR="004A736C" w:rsidRPr="0019006B">
        <w:t xml:space="preserve"> March annually). Best practice outlined by the Equality and Human Rights commission (EHRC) recommends that equal pay reviews are the most appropriate method of delivering a pay system free </w:t>
      </w:r>
      <w:r w:rsidR="004A736C" w:rsidRPr="00AE6338">
        <w:t>from gender biases</w:t>
      </w:r>
      <w:r w:rsidR="004A736C" w:rsidRPr="0019006B">
        <w:t xml:space="preserve">.  </w:t>
      </w:r>
    </w:p>
    <w:p w14:paraId="279AA3A2" w14:textId="093E96C7" w:rsidR="004A736C" w:rsidRPr="00AE6338" w:rsidRDefault="004A736C" w:rsidP="00A567D6">
      <w:pPr>
        <w:pStyle w:val="ELC-ParaTitle2"/>
        <w:tabs>
          <w:tab w:val="clear" w:pos="420"/>
          <w:tab w:val="clear" w:pos="680"/>
        </w:tabs>
        <w:ind w:left="720" w:hanging="720"/>
        <w:jc w:val="both"/>
        <w:rPr>
          <w:rFonts w:cs="Arial"/>
        </w:rPr>
      </w:pPr>
      <w:r>
        <w:rPr>
          <w:rFonts w:cs="Arial"/>
        </w:rPr>
        <w:t>T</w:t>
      </w:r>
      <w:r w:rsidRPr="009F155D">
        <w:rPr>
          <w:rFonts w:cs="Arial"/>
        </w:rPr>
        <w:t>he duty require</w:t>
      </w:r>
      <w:r w:rsidR="00695345">
        <w:rPr>
          <w:rFonts w:cs="Arial"/>
        </w:rPr>
        <w:t>s</w:t>
      </w:r>
      <w:r w:rsidRPr="009F155D">
        <w:rPr>
          <w:rFonts w:cs="Arial"/>
        </w:rPr>
        <w:t xml:space="preserve"> public authorities to publish gender pay gap information on the percentage difference between </w:t>
      </w:r>
      <w:r>
        <w:rPr>
          <w:rFonts w:cs="Arial"/>
        </w:rPr>
        <w:t>the</w:t>
      </w:r>
      <w:r w:rsidRPr="009F155D">
        <w:rPr>
          <w:rFonts w:cs="Arial"/>
        </w:rPr>
        <w:t xml:space="preserve"> average hourly pay </w:t>
      </w:r>
      <w:r>
        <w:rPr>
          <w:rFonts w:cs="Arial"/>
        </w:rPr>
        <w:t>(</w:t>
      </w:r>
      <w:r w:rsidRPr="009F155D">
        <w:rPr>
          <w:rFonts w:cs="Arial"/>
        </w:rPr>
        <w:t>excluding overtime</w:t>
      </w:r>
      <w:r>
        <w:rPr>
          <w:rFonts w:cs="Arial"/>
        </w:rPr>
        <w:t>)</w:t>
      </w:r>
      <w:r w:rsidRPr="00667FDF">
        <w:rPr>
          <w:rFonts w:cs="Arial"/>
        </w:rPr>
        <w:t xml:space="preserve"> </w:t>
      </w:r>
      <w:r>
        <w:rPr>
          <w:rFonts w:cs="Arial"/>
        </w:rPr>
        <w:t>for males and females</w:t>
      </w:r>
      <w:r w:rsidR="00101200">
        <w:rPr>
          <w:rFonts w:cs="Arial"/>
        </w:rPr>
        <w:t>.</w:t>
      </w:r>
      <w:r>
        <w:rPr>
          <w:rFonts w:cs="Arial"/>
        </w:rPr>
        <w:t xml:space="preserve"> </w:t>
      </w:r>
    </w:p>
    <w:p w14:paraId="72843BBD" w14:textId="77777777" w:rsidR="004A736C" w:rsidRDefault="00A567D6" w:rsidP="00A567D6">
      <w:pPr>
        <w:pStyle w:val="ELC-ParaTitle2"/>
        <w:tabs>
          <w:tab w:val="clear" w:pos="420"/>
          <w:tab w:val="clear" w:pos="680"/>
        </w:tabs>
        <w:ind w:left="720" w:hanging="720"/>
        <w:jc w:val="both"/>
        <w:rPr>
          <w:rFonts w:cs="Arial"/>
        </w:rPr>
      </w:pPr>
      <w:r>
        <w:rPr>
          <w:rFonts w:cs="Arial"/>
        </w:rPr>
        <w:t>The C</w:t>
      </w:r>
      <w:r w:rsidR="004A736C" w:rsidRPr="009F155D">
        <w:rPr>
          <w:rFonts w:cs="Arial"/>
        </w:rPr>
        <w:t xml:space="preserve">ouncil has </w:t>
      </w:r>
      <w:r w:rsidR="00D41B48">
        <w:rPr>
          <w:rFonts w:cs="Arial"/>
        </w:rPr>
        <w:t>4 separate grading structures:</w:t>
      </w:r>
    </w:p>
    <w:p w14:paraId="55F4C336" w14:textId="6789A8C4" w:rsidR="004A736C" w:rsidRPr="009F155D" w:rsidRDefault="004A736C" w:rsidP="00A567D6">
      <w:pPr>
        <w:pStyle w:val="ELC-ParaTitle2"/>
        <w:numPr>
          <w:ilvl w:val="0"/>
          <w:numId w:val="15"/>
        </w:numPr>
        <w:tabs>
          <w:tab w:val="clear" w:pos="680"/>
        </w:tabs>
        <w:spacing w:after="0"/>
        <w:ind w:left="1418" w:hanging="720"/>
        <w:jc w:val="both"/>
        <w:rPr>
          <w:rFonts w:cs="Arial"/>
        </w:rPr>
      </w:pPr>
      <w:r w:rsidRPr="009F155D">
        <w:rPr>
          <w:rFonts w:cs="Arial"/>
        </w:rPr>
        <w:t>Local Government employees – Grades 1 to 13 underpinned using the Scottish Joint Councils Job Evaluation Scheme</w:t>
      </w:r>
      <w:r w:rsidR="00406ACC">
        <w:rPr>
          <w:rFonts w:cs="Arial"/>
        </w:rPr>
        <w:t>.</w:t>
      </w:r>
    </w:p>
    <w:p w14:paraId="29F1CAB5" w14:textId="0267EA06" w:rsidR="004A736C" w:rsidRPr="009F155D" w:rsidRDefault="004A736C" w:rsidP="00A567D6">
      <w:pPr>
        <w:pStyle w:val="ELC-ParaTitle2"/>
        <w:numPr>
          <w:ilvl w:val="0"/>
          <w:numId w:val="15"/>
        </w:numPr>
        <w:tabs>
          <w:tab w:val="clear" w:pos="680"/>
        </w:tabs>
        <w:spacing w:after="0"/>
        <w:ind w:left="1418" w:hanging="720"/>
        <w:jc w:val="both"/>
        <w:rPr>
          <w:rFonts w:cs="Arial"/>
        </w:rPr>
      </w:pPr>
      <w:r w:rsidRPr="009F155D">
        <w:rPr>
          <w:rFonts w:cs="Arial"/>
        </w:rPr>
        <w:t xml:space="preserve">Teachers and associated professionals – Jobs sized in accordance with Scottish Negotiating Committee for Teacher (SNCT) </w:t>
      </w:r>
      <w:r w:rsidR="00406ACC" w:rsidRPr="009F155D">
        <w:rPr>
          <w:rFonts w:cs="Arial"/>
        </w:rPr>
        <w:t>rules.</w:t>
      </w:r>
      <w:r w:rsidRPr="009F155D">
        <w:rPr>
          <w:rFonts w:cs="Arial"/>
        </w:rPr>
        <w:t xml:space="preserve"> </w:t>
      </w:r>
    </w:p>
    <w:p w14:paraId="3BFA3E4C" w14:textId="271C5713" w:rsidR="004A736C" w:rsidRPr="009F155D" w:rsidRDefault="004A736C" w:rsidP="00A567D6">
      <w:pPr>
        <w:pStyle w:val="ELC-ParaTitle2"/>
        <w:numPr>
          <w:ilvl w:val="0"/>
          <w:numId w:val="15"/>
        </w:numPr>
        <w:tabs>
          <w:tab w:val="clear" w:pos="680"/>
        </w:tabs>
        <w:spacing w:after="0"/>
        <w:ind w:left="1418" w:hanging="720"/>
        <w:jc w:val="both"/>
        <w:rPr>
          <w:rFonts w:cs="Arial"/>
        </w:rPr>
      </w:pPr>
      <w:r w:rsidRPr="009F155D">
        <w:rPr>
          <w:rFonts w:cs="Arial"/>
        </w:rPr>
        <w:t xml:space="preserve">Chief Officials – </w:t>
      </w:r>
      <w:r w:rsidR="00A55CE7">
        <w:rPr>
          <w:rFonts w:cs="Arial"/>
        </w:rPr>
        <w:t>Local Collective Agreement (pay based on nationally agreed scales)</w:t>
      </w:r>
      <w:r w:rsidR="00406ACC">
        <w:rPr>
          <w:rFonts w:cs="Arial"/>
        </w:rPr>
        <w:t>.</w:t>
      </w:r>
    </w:p>
    <w:p w14:paraId="0A34BA76" w14:textId="54B130DC" w:rsidR="004A736C" w:rsidRDefault="004A736C" w:rsidP="00A567D6">
      <w:pPr>
        <w:pStyle w:val="ELC-ParaTitle2"/>
        <w:numPr>
          <w:ilvl w:val="0"/>
          <w:numId w:val="15"/>
        </w:numPr>
        <w:tabs>
          <w:tab w:val="clear" w:pos="680"/>
        </w:tabs>
        <w:spacing w:after="0"/>
        <w:ind w:left="1418" w:hanging="720"/>
        <w:jc w:val="both"/>
        <w:rPr>
          <w:rFonts w:cs="Arial"/>
        </w:rPr>
      </w:pPr>
      <w:r w:rsidRPr="009F155D">
        <w:rPr>
          <w:rFonts w:cs="Arial"/>
        </w:rPr>
        <w:t xml:space="preserve">CRAFT Workers </w:t>
      </w:r>
      <w:r w:rsidR="00406ACC">
        <w:rPr>
          <w:rFonts w:cs="Arial"/>
        </w:rPr>
        <w:t>–</w:t>
      </w:r>
      <w:r w:rsidRPr="009F155D">
        <w:rPr>
          <w:rFonts w:cs="Arial"/>
        </w:rPr>
        <w:t xml:space="preserve"> Local Collective Agreement</w:t>
      </w:r>
      <w:r w:rsidR="00406ACC">
        <w:rPr>
          <w:rFonts w:cs="Arial"/>
        </w:rPr>
        <w:t>.</w:t>
      </w:r>
      <w:r w:rsidRPr="009F155D">
        <w:rPr>
          <w:rFonts w:cs="Arial"/>
        </w:rPr>
        <w:t xml:space="preserve"> </w:t>
      </w:r>
    </w:p>
    <w:p w14:paraId="23E1F3F8" w14:textId="77777777" w:rsidR="00D41B48" w:rsidRPr="009F155D" w:rsidRDefault="00D41B48" w:rsidP="00A567D6">
      <w:pPr>
        <w:pStyle w:val="ELC-ParaTitle2"/>
        <w:numPr>
          <w:ilvl w:val="0"/>
          <w:numId w:val="0"/>
        </w:numPr>
        <w:tabs>
          <w:tab w:val="clear" w:pos="680"/>
        </w:tabs>
        <w:spacing w:after="0"/>
        <w:ind w:left="720" w:hanging="720"/>
        <w:jc w:val="both"/>
        <w:rPr>
          <w:rFonts w:cs="Arial"/>
        </w:rPr>
      </w:pPr>
    </w:p>
    <w:p w14:paraId="2E59464A" w14:textId="412AFE39" w:rsidR="004A736C" w:rsidRDefault="00A567D6" w:rsidP="00A567D6">
      <w:pPr>
        <w:pStyle w:val="ELC-ParaTitle2"/>
        <w:tabs>
          <w:tab w:val="clear" w:pos="420"/>
          <w:tab w:val="clear" w:pos="680"/>
        </w:tabs>
        <w:ind w:left="720" w:hanging="720"/>
        <w:jc w:val="both"/>
        <w:rPr>
          <w:rFonts w:cs="Arial"/>
        </w:rPr>
      </w:pPr>
      <w:r>
        <w:rPr>
          <w:rFonts w:cs="Arial"/>
        </w:rPr>
        <w:t>The C</w:t>
      </w:r>
      <w:r w:rsidR="004A736C" w:rsidRPr="009F155D">
        <w:rPr>
          <w:rFonts w:cs="Arial"/>
        </w:rPr>
        <w:t xml:space="preserve">ouncil is committed to monitoring equality and in providing analysis and recommendations </w:t>
      </w:r>
      <w:r w:rsidR="00A55CE7" w:rsidRPr="009F155D">
        <w:rPr>
          <w:rFonts w:cs="Arial"/>
        </w:rPr>
        <w:t>regarding</w:t>
      </w:r>
      <w:r w:rsidR="004A736C" w:rsidRPr="009F155D">
        <w:rPr>
          <w:rFonts w:cs="Arial"/>
        </w:rPr>
        <w:t xml:space="preserve"> reward management, policy and the best practice of managers and employees across the entire council.</w:t>
      </w:r>
    </w:p>
    <w:p w14:paraId="31EA4C84" w14:textId="77777777" w:rsidR="004A736C" w:rsidRPr="004A736C" w:rsidRDefault="00A567D6" w:rsidP="00A567D6">
      <w:pPr>
        <w:pStyle w:val="ELC-ParaTitle"/>
        <w:numPr>
          <w:ilvl w:val="0"/>
          <w:numId w:val="0"/>
        </w:numPr>
        <w:tabs>
          <w:tab w:val="clear" w:pos="680"/>
        </w:tabs>
        <w:ind w:firstLine="720"/>
        <w:jc w:val="both"/>
        <w:rPr>
          <w:rFonts w:cs="Arial"/>
        </w:rPr>
      </w:pPr>
      <w:r w:rsidRPr="004A736C">
        <w:rPr>
          <w:rFonts w:cs="Arial"/>
        </w:rPr>
        <w:t>Methodology</w:t>
      </w:r>
    </w:p>
    <w:p w14:paraId="0486304F" w14:textId="37C86D94" w:rsidR="00AB0261" w:rsidRPr="00E13CF6" w:rsidRDefault="00D844DE" w:rsidP="00A567D6">
      <w:pPr>
        <w:pStyle w:val="ELC-ParaTitle2"/>
        <w:tabs>
          <w:tab w:val="clear" w:pos="420"/>
          <w:tab w:val="clear" w:pos="680"/>
        </w:tabs>
        <w:ind w:left="709" w:hanging="709"/>
        <w:jc w:val="both"/>
        <w:rPr>
          <w:rFonts w:cs="Arial"/>
        </w:rPr>
      </w:pPr>
      <w:r w:rsidRPr="00D844DE">
        <w:rPr>
          <w:rFonts w:cs="Arial"/>
        </w:rPr>
        <w:t xml:space="preserve">An analysis of all </w:t>
      </w:r>
      <w:proofErr w:type="gramStart"/>
      <w:r w:rsidR="00A55CE7" w:rsidRPr="00D844DE">
        <w:rPr>
          <w:rFonts w:cs="Arial"/>
        </w:rPr>
        <w:t>pay</w:t>
      </w:r>
      <w:proofErr w:type="gramEnd"/>
      <w:r w:rsidRPr="00D844DE">
        <w:rPr>
          <w:rFonts w:cs="Arial"/>
        </w:rPr>
        <w:t xml:space="preserve"> and grading structures by gender </w:t>
      </w:r>
      <w:r w:rsidR="00541072">
        <w:rPr>
          <w:rFonts w:cs="Arial"/>
        </w:rPr>
        <w:t xml:space="preserve">at the snapshot date of </w:t>
      </w:r>
      <w:r w:rsidR="00541072" w:rsidRPr="00F277C1">
        <w:rPr>
          <w:rFonts w:cs="Arial"/>
        </w:rPr>
        <w:t>31</w:t>
      </w:r>
      <w:r w:rsidR="00541072" w:rsidRPr="00F277C1">
        <w:rPr>
          <w:rFonts w:cs="Arial"/>
          <w:vertAlign w:val="superscript"/>
        </w:rPr>
        <w:t>st</w:t>
      </w:r>
      <w:r w:rsidR="00541072" w:rsidRPr="00F277C1">
        <w:rPr>
          <w:rFonts w:cs="Arial"/>
        </w:rPr>
        <w:t xml:space="preserve"> March 202</w:t>
      </w:r>
      <w:r w:rsidR="00F277C1" w:rsidRPr="00F277C1">
        <w:rPr>
          <w:rFonts w:cs="Arial"/>
        </w:rPr>
        <w:t>4</w:t>
      </w:r>
      <w:r w:rsidR="00541072">
        <w:rPr>
          <w:rFonts w:cs="Arial"/>
        </w:rPr>
        <w:t xml:space="preserve"> </w:t>
      </w:r>
      <w:r w:rsidRPr="00D844DE">
        <w:rPr>
          <w:rFonts w:cs="Arial"/>
        </w:rPr>
        <w:t>was carried out to determine the gender impact on the workforce.</w:t>
      </w:r>
      <w:r w:rsidR="00FD6B7A" w:rsidRPr="00EB2FCD">
        <w:rPr>
          <w:rFonts w:cs="Arial"/>
        </w:rPr>
        <w:t xml:space="preserve"> </w:t>
      </w:r>
    </w:p>
    <w:tbl>
      <w:tblPr>
        <w:tblpPr w:leftFromText="180" w:rightFromText="180" w:vertAnchor="text" w:horzAnchor="margin" w:tblpXSpec="center" w:tblpY="33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A567D6" w:rsidRPr="00F928B0" w14:paraId="6DBBA411" w14:textId="77777777" w:rsidTr="00A567D6">
        <w:tc>
          <w:tcPr>
            <w:tcW w:w="2263" w:type="dxa"/>
            <w:shd w:val="clear" w:color="auto" w:fill="D0CECE"/>
          </w:tcPr>
          <w:p w14:paraId="2AF7FDB3" w14:textId="77777777" w:rsidR="00A567D6" w:rsidRPr="00F928B0" w:rsidRDefault="00A567D6" w:rsidP="00A567D6">
            <w:pPr>
              <w:jc w:val="center"/>
              <w:rPr>
                <w:rFonts w:cs="Arial"/>
                <w:b/>
              </w:rPr>
            </w:pPr>
            <w:r w:rsidRPr="00F928B0">
              <w:rPr>
                <w:rFonts w:cs="Arial"/>
                <w:b/>
              </w:rPr>
              <w:t>Pay Element</w:t>
            </w:r>
          </w:p>
        </w:tc>
        <w:tc>
          <w:tcPr>
            <w:tcW w:w="6663" w:type="dxa"/>
            <w:shd w:val="clear" w:color="auto" w:fill="D0CECE"/>
          </w:tcPr>
          <w:p w14:paraId="06CC7BF2" w14:textId="77777777" w:rsidR="00A567D6" w:rsidRPr="00F928B0" w:rsidRDefault="00A567D6" w:rsidP="00A567D6">
            <w:pPr>
              <w:jc w:val="center"/>
              <w:rPr>
                <w:rFonts w:cs="Arial"/>
                <w:b/>
              </w:rPr>
            </w:pPr>
            <w:r w:rsidRPr="00F928B0">
              <w:rPr>
                <w:rFonts w:cs="Arial"/>
                <w:b/>
              </w:rPr>
              <w:t>Description</w:t>
            </w:r>
          </w:p>
        </w:tc>
      </w:tr>
      <w:tr w:rsidR="00A567D6" w:rsidRPr="00F928B0" w14:paraId="0306C524" w14:textId="77777777" w:rsidTr="00A567D6">
        <w:trPr>
          <w:trHeight w:val="394"/>
        </w:trPr>
        <w:tc>
          <w:tcPr>
            <w:tcW w:w="2263" w:type="dxa"/>
            <w:shd w:val="clear" w:color="auto" w:fill="auto"/>
            <w:vAlign w:val="center"/>
          </w:tcPr>
          <w:p w14:paraId="52920002" w14:textId="77777777" w:rsidR="00A567D6" w:rsidRPr="00F928B0" w:rsidRDefault="00A567D6" w:rsidP="00A567D6">
            <w:pPr>
              <w:jc w:val="center"/>
              <w:rPr>
                <w:rFonts w:cs="Arial"/>
              </w:rPr>
            </w:pPr>
            <w:r w:rsidRPr="00F928B0">
              <w:rPr>
                <w:rFonts w:cs="Arial"/>
              </w:rPr>
              <w:t>Basic pay</w:t>
            </w:r>
          </w:p>
        </w:tc>
        <w:tc>
          <w:tcPr>
            <w:tcW w:w="6663" w:type="dxa"/>
            <w:shd w:val="clear" w:color="auto" w:fill="auto"/>
            <w:vAlign w:val="center"/>
          </w:tcPr>
          <w:p w14:paraId="461732DB" w14:textId="77777777" w:rsidR="00A567D6" w:rsidRPr="00F928B0" w:rsidRDefault="00A567D6" w:rsidP="00A567D6">
            <w:pPr>
              <w:rPr>
                <w:rFonts w:cs="Arial"/>
              </w:rPr>
            </w:pPr>
            <w:r w:rsidRPr="00F928B0">
              <w:rPr>
                <w:rFonts w:cs="Arial"/>
              </w:rPr>
              <w:t>Including contractual overtime</w:t>
            </w:r>
          </w:p>
        </w:tc>
      </w:tr>
      <w:tr w:rsidR="00A567D6" w:rsidRPr="00F928B0" w14:paraId="1B693199" w14:textId="77777777" w:rsidTr="00A567D6">
        <w:trPr>
          <w:trHeight w:val="709"/>
        </w:trPr>
        <w:tc>
          <w:tcPr>
            <w:tcW w:w="2263" w:type="dxa"/>
            <w:shd w:val="clear" w:color="auto" w:fill="auto"/>
            <w:vAlign w:val="center"/>
          </w:tcPr>
          <w:p w14:paraId="35C5B7CB" w14:textId="77777777" w:rsidR="00A567D6" w:rsidRPr="00F928B0" w:rsidRDefault="00A567D6" w:rsidP="00A567D6">
            <w:pPr>
              <w:jc w:val="center"/>
              <w:rPr>
                <w:rFonts w:cs="Arial"/>
              </w:rPr>
            </w:pPr>
            <w:r w:rsidRPr="00F928B0">
              <w:rPr>
                <w:rFonts w:cs="Arial"/>
              </w:rPr>
              <w:t>Allowances</w:t>
            </w:r>
          </w:p>
        </w:tc>
        <w:tc>
          <w:tcPr>
            <w:tcW w:w="6663" w:type="dxa"/>
            <w:shd w:val="clear" w:color="auto" w:fill="auto"/>
            <w:vAlign w:val="center"/>
          </w:tcPr>
          <w:p w14:paraId="7D28A5AF" w14:textId="07FB6B79" w:rsidR="00A567D6" w:rsidRPr="00F928B0" w:rsidRDefault="00A55CE7" w:rsidP="00A567D6">
            <w:pPr>
              <w:rPr>
                <w:rFonts w:cs="Arial"/>
              </w:rPr>
            </w:pPr>
            <w:r w:rsidRPr="00F928B0">
              <w:rPr>
                <w:rFonts w:cs="Arial"/>
              </w:rPr>
              <w:t>e.g.,</w:t>
            </w:r>
            <w:r w:rsidR="00A567D6" w:rsidRPr="00F928B0">
              <w:rPr>
                <w:rFonts w:cs="Arial"/>
              </w:rPr>
              <w:t xml:space="preserve"> first aid allowances, on call payments, recruitment and retention payments, car allowance,</w:t>
            </w:r>
            <w:r>
              <w:rPr>
                <w:rFonts w:cs="Arial"/>
              </w:rPr>
              <w:t xml:space="preserve"> homeworking allowance etc.</w:t>
            </w:r>
          </w:p>
        </w:tc>
      </w:tr>
      <w:tr w:rsidR="00A567D6" w:rsidRPr="00F928B0" w14:paraId="2758DFB9" w14:textId="77777777" w:rsidTr="00A567D6">
        <w:trPr>
          <w:trHeight w:val="690"/>
        </w:trPr>
        <w:tc>
          <w:tcPr>
            <w:tcW w:w="2263" w:type="dxa"/>
            <w:shd w:val="clear" w:color="auto" w:fill="auto"/>
            <w:vAlign w:val="center"/>
          </w:tcPr>
          <w:p w14:paraId="2DA07A59" w14:textId="77777777" w:rsidR="00A567D6" w:rsidRPr="00F928B0" w:rsidRDefault="00A567D6" w:rsidP="00A567D6">
            <w:pPr>
              <w:jc w:val="center"/>
              <w:rPr>
                <w:rFonts w:cs="Arial"/>
              </w:rPr>
            </w:pPr>
            <w:r w:rsidRPr="00F928B0">
              <w:rPr>
                <w:rFonts w:cs="Arial"/>
              </w:rPr>
              <w:t>Pay for leave</w:t>
            </w:r>
          </w:p>
        </w:tc>
        <w:tc>
          <w:tcPr>
            <w:tcW w:w="6663" w:type="dxa"/>
            <w:shd w:val="clear" w:color="auto" w:fill="auto"/>
            <w:vAlign w:val="center"/>
          </w:tcPr>
          <w:p w14:paraId="008271EA" w14:textId="71F0EC35" w:rsidR="00A567D6" w:rsidRPr="00F928B0" w:rsidRDefault="00A55CE7" w:rsidP="00A567D6">
            <w:pPr>
              <w:rPr>
                <w:rFonts w:cs="Arial"/>
              </w:rPr>
            </w:pPr>
            <w:r w:rsidRPr="00F928B0">
              <w:rPr>
                <w:rFonts w:cs="Arial"/>
              </w:rPr>
              <w:t>e.g.,</w:t>
            </w:r>
            <w:r w:rsidR="00A567D6" w:rsidRPr="00F928B0">
              <w:rPr>
                <w:rFonts w:cs="Arial"/>
              </w:rPr>
              <w:t xml:space="preserve"> annual leave, maternity, paternity, parental or shared parental leave, sick leave, special leave etc.</w:t>
            </w:r>
          </w:p>
        </w:tc>
      </w:tr>
      <w:tr w:rsidR="00A567D6" w:rsidRPr="00F928B0" w14:paraId="6C22F5B2" w14:textId="77777777" w:rsidTr="00A567D6">
        <w:trPr>
          <w:trHeight w:val="843"/>
        </w:trPr>
        <w:tc>
          <w:tcPr>
            <w:tcW w:w="2263" w:type="dxa"/>
            <w:shd w:val="clear" w:color="auto" w:fill="auto"/>
            <w:vAlign w:val="center"/>
          </w:tcPr>
          <w:p w14:paraId="178B7B27" w14:textId="77777777" w:rsidR="00A567D6" w:rsidRPr="00F928B0" w:rsidRDefault="00A567D6" w:rsidP="00A567D6">
            <w:pPr>
              <w:jc w:val="center"/>
              <w:rPr>
                <w:rFonts w:cs="Arial"/>
              </w:rPr>
            </w:pPr>
            <w:r w:rsidRPr="00F928B0">
              <w:rPr>
                <w:rFonts w:cs="Arial"/>
              </w:rPr>
              <w:t>Shift premium pay</w:t>
            </w:r>
          </w:p>
        </w:tc>
        <w:tc>
          <w:tcPr>
            <w:tcW w:w="6663" w:type="dxa"/>
            <w:shd w:val="clear" w:color="auto" w:fill="auto"/>
            <w:vAlign w:val="center"/>
          </w:tcPr>
          <w:p w14:paraId="5D0035F6" w14:textId="4C026069" w:rsidR="00A567D6" w:rsidRPr="00F928B0" w:rsidRDefault="00A55CE7" w:rsidP="00A567D6">
            <w:pPr>
              <w:rPr>
                <w:rFonts w:cs="Arial"/>
              </w:rPr>
            </w:pPr>
            <w:r w:rsidRPr="00F928B0">
              <w:rPr>
                <w:rFonts w:cs="Arial"/>
              </w:rPr>
              <w:t>i.e.,</w:t>
            </w:r>
            <w:r w:rsidR="00A567D6" w:rsidRPr="00F928B0">
              <w:rPr>
                <w:rFonts w:cs="Arial"/>
              </w:rPr>
              <w:t xml:space="preserve"> the difference between basic pay and any higher rate paid for work during different times of the day or night</w:t>
            </w:r>
          </w:p>
        </w:tc>
      </w:tr>
    </w:tbl>
    <w:p w14:paraId="14388F39" w14:textId="77777777" w:rsidR="004A736C" w:rsidRDefault="006E3C0F" w:rsidP="00A567D6">
      <w:pPr>
        <w:pStyle w:val="ELC-ParaTitle2"/>
        <w:tabs>
          <w:tab w:val="clear" w:pos="420"/>
          <w:tab w:val="clear" w:pos="680"/>
        </w:tabs>
        <w:ind w:left="709" w:hanging="709"/>
        <w:rPr>
          <w:rFonts w:cs="Arial"/>
        </w:rPr>
      </w:pPr>
      <w:r w:rsidRPr="00AB0261">
        <w:rPr>
          <w:rFonts w:cs="Arial"/>
        </w:rPr>
        <w:t>Analysis includ</w:t>
      </w:r>
      <w:r w:rsidR="00AB0261" w:rsidRPr="00AB0261">
        <w:rPr>
          <w:rFonts w:cs="Arial"/>
        </w:rPr>
        <w:t xml:space="preserve">ed the following pay elements: </w:t>
      </w:r>
    </w:p>
    <w:p w14:paraId="58DB445D" w14:textId="77777777" w:rsidR="00D41B48" w:rsidRPr="00D41B48" w:rsidRDefault="00D41B48" w:rsidP="00D41B48">
      <w:pPr>
        <w:pStyle w:val="ELC-ParaTitle2"/>
        <w:numPr>
          <w:ilvl w:val="0"/>
          <w:numId w:val="0"/>
        </w:numPr>
        <w:spacing w:after="0"/>
        <w:ind w:left="420"/>
        <w:rPr>
          <w:rFonts w:cs="Arial"/>
        </w:rPr>
      </w:pPr>
    </w:p>
    <w:p w14:paraId="6EDA88A3" w14:textId="0EC25679" w:rsidR="00251FCD" w:rsidRPr="004A736C" w:rsidRDefault="000317EE" w:rsidP="00A567D6">
      <w:pPr>
        <w:pStyle w:val="ELC-ParaTitle2"/>
        <w:tabs>
          <w:tab w:val="clear" w:pos="420"/>
          <w:tab w:val="clear" w:pos="680"/>
        </w:tabs>
        <w:ind w:left="709" w:hanging="709"/>
        <w:jc w:val="both"/>
        <w:rPr>
          <w:rFonts w:cs="Arial"/>
        </w:rPr>
      </w:pPr>
      <w:r>
        <w:rPr>
          <w:rFonts w:cs="Arial"/>
        </w:rPr>
        <w:t>Non-contractual overtime</w:t>
      </w:r>
      <w:r w:rsidR="00EB2FCD" w:rsidRPr="004A736C">
        <w:rPr>
          <w:rFonts w:cs="Arial"/>
        </w:rPr>
        <w:t xml:space="preserve"> payments, </w:t>
      </w:r>
      <w:r w:rsidR="005A7B62" w:rsidRPr="004A736C">
        <w:rPr>
          <w:rFonts w:cs="Arial"/>
        </w:rPr>
        <w:t>redundancy,</w:t>
      </w:r>
      <w:r w:rsidR="00330A1A">
        <w:rPr>
          <w:rFonts w:cs="Arial"/>
        </w:rPr>
        <w:t xml:space="preserve"> </w:t>
      </w:r>
      <w:r w:rsidR="00EB2FCD" w:rsidRPr="004A736C">
        <w:rPr>
          <w:rFonts w:cs="Arial"/>
        </w:rPr>
        <w:t>or termination of employment</w:t>
      </w:r>
      <w:r w:rsidR="00541072">
        <w:rPr>
          <w:rFonts w:cs="Arial"/>
        </w:rPr>
        <w:t xml:space="preserve"> payments</w:t>
      </w:r>
      <w:r w:rsidR="00EB2FCD" w:rsidRPr="004A736C">
        <w:rPr>
          <w:rFonts w:cs="Arial"/>
        </w:rPr>
        <w:t xml:space="preserve">, pay in lieu of annual leave or pay which is not money must not be included in the above.  As well as </w:t>
      </w:r>
      <w:r>
        <w:rPr>
          <w:rFonts w:cs="Arial"/>
        </w:rPr>
        <w:t xml:space="preserve">non-contractual </w:t>
      </w:r>
      <w:r w:rsidR="00EB2FCD" w:rsidRPr="004A736C">
        <w:rPr>
          <w:rFonts w:cs="Arial"/>
        </w:rPr>
        <w:t>overtime pay, payments such as allowances earned during paid overtime hours should also be excluded from ordinary pay.  Additional exclusions include benefits in kind</w:t>
      </w:r>
      <w:r>
        <w:rPr>
          <w:rFonts w:cs="Arial"/>
        </w:rPr>
        <w:t xml:space="preserve"> &amp; </w:t>
      </w:r>
      <w:r w:rsidR="00EB2FCD" w:rsidRPr="004A736C">
        <w:rPr>
          <w:rFonts w:cs="Arial"/>
        </w:rPr>
        <w:t>interest free loans.</w:t>
      </w:r>
      <w:r w:rsidR="002B7DA6">
        <w:rPr>
          <w:rFonts w:cs="Arial"/>
        </w:rPr>
        <w:t xml:space="preserve"> </w:t>
      </w:r>
      <w:r>
        <w:rPr>
          <w:rFonts w:cs="Arial"/>
        </w:rPr>
        <w:t>Where an employee ha</w:t>
      </w:r>
      <w:r w:rsidR="002B7DA6">
        <w:rPr>
          <w:rFonts w:cs="Arial"/>
        </w:rPr>
        <w:t>s</w:t>
      </w:r>
      <w:r>
        <w:rPr>
          <w:rFonts w:cs="Arial"/>
        </w:rPr>
        <w:t xml:space="preserve"> a salary sacrifice arrangement, their gross pay after the salary sacrifice reduction </w:t>
      </w:r>
      <w:r w:rsidR="002B7DA6">
        <w:rPr>
          <w:rFonts w:cs="Arial"/>
        </w:rPr>
        <w:t>is</w:t>
      </w:r>
      <w:r>
        <w:rPr>
          <w:rFonts w:cs="Arial"/>
        </w:rPr>
        <w:t xml:space="preserve"> used in the calculations. </w:t>
      </w:r>
    </w:p>
    <w:p w14:paraId="50B8C1C9" w14:textId="77777777" w:rsidR="006E3C0F" w:rsidRDefault="006E3C0F" w:rsidP="00A567D6">
      <w:pPr>
        <w:pStyle w:val="ELC-ParaTitle2"/>
        <w:tabs>
          <w:tab w:val="clear" w:pos="420"/>
          <w:tab w:val="clear" w:pos="680"/>
        </w:tabs>
        <w:spacing w:after="0"/>
        <w:ind w:left="709" w:hanging="709"/>
        <w:jc w:val="both"/>
        <w:rPr>
          <w:rFonts w:cs="Arial"/>
        </w:rPr>
      </w:pPr>
      <w:r w:rsidRPr="006E3C0F">
        <w:rPr>
          <w:rFonts w:cs="Arial"/>
        </w:rPr>
        <w:t>Analysis was conduc</w:t>
      </w:r>
      <w:r w:rsidR="00AB0261">
        <w:rPr>
          <w:rFonts w:cs="Arial"/>
        </w:rPr>
        <w:t>ted within the following scope:</w:t>
      </w:r>
    </w:p>
    <w:tbl>
      <w:tblPr>
        <w:tblpPr w:leftFromText="180" w:rightFromText="180" w:vertAnchor="text" w:horzAnchor="margin" w:tblpXSpec="center" w:tblpY="9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0"/>
      </w:tblGrid>
      <w:tr w:rsidR="004A736C" w:rsidRPr="00F928B0" w14:paraId="49E25375" w14:textId="77777777" w:rsidTr="00A567D6">
        <w:trPr>
          <w:trHeight w:val="446"/>
        </w:trPr>
        <w:tc>
          <w:tcPr>
            <w:tcW w:w="3256" w:type="dxa"/>
            <w:shd w:val="clear" w:color="auto" w:fill="D0CECE"/>
          </w:tcPr>
          <w:p w14:paraId="5AEF1D80" w14:textId="77777777" w:rsidR="004A736C" w:rsidRPr="00F928B0" w:rsidRDefault="004A736C" w:rsidP="00A567D6">
            <w:pPr>
              <w:jc w:val="center"/>
              <w:rPr>
                <w:rFonts w:cs="Arial"/>
                <w:b/>
              </w:rPr>
            </w:pPr>
            <w:r w:rsidRPr="00F928B0">
              <w:rPr>
                <w:rFonts w:cs="Arial"/>
                <w:b/>
              </w:rPr>
              <w:t>Data Scope</w:t>
            </w:r>
          </w:p>
        </w:tc>
        <w:tc>
          <w:tcPr>
            <w:tcW w:w="5670" w:type="dxa"/>
            <w:shd w:val="clear" w:color="auto" w:fill="D0CECE"/>
          </w:tcPr>
          <w:p w14:paraId="224B9D68" w14:textId="77777777" w:rsidR="004A736C" w:rsidRPr="00F928B0" w:rsidRDefault="004A736C" w:rsidP="00A567D6">
            <w:pPr>
              <w:jc w:val="center"/>
              <w:rPr>
                <w:rFonts w:cs="Arial"/>
                <w:b/>
              </w:rPr>
            </w:pPr>
            <w:r w:rsidRPr="00F928B0">
              <w:rPr>
                <w:rFonts w:cs="Arial"/>
                <w:b/>
              </w:rPr>
              <w:t>Staffing Demographic</w:t>
            </w:r>
          </w:p>
        </w:tc>
      </w:tr>
      <w:tr w:rsidR="004A736C" w:rsidRPr="00F928B0" w14:paraId="31076A22" w14:textId="77777777" w:rsidTr="00A567D6">
        <w:trPr>
          <w:trHeight w:val="476"/>
        </w:trPr>
        <w:tc>
          <w:tcPr>
            <w:tcW w:w="3256" w:type="dxa"/>
            <w:shd w:val="clear" w:color="auto" w:fill="auto"/>
          </w:tcPr>
          <w:p w14:paraId="0AA87D95" w14:textId="77777777" w:rsidR="004A736C" w:rsidRPr="00F928B0" w:rsidRDefault="004A736C" w:rsidP="00A567D6">
            <w:pPr>
              <w:contextualSpacing/>
              <w:rPr>
                <w:rFonts w:cs="Arial"/>
              </w:rPr>
            </w:pPr>
            <w:r w:rsidRPr="00F928B0">
              <w:rPr>
                <w:rFonts w:cs="Arial"/>
              </w:rPr>
              <w:t xml:space="preserve">Employees Group in Scope </w:t>
            </w:r>
          </w:p>
        </w:tc>
        <w:tc>
          <w:tcPr>
            <w:tcW w:w="5670" w:type="dxa"/>
            <w:shd w:val="clear" w:color="auto" w:fill="auto"/>
          </w:tcPr>
          <w:p w14:paraId="7CE67AF1" w14:textId="77777777" w:rsidR="004A736C" w:rsidRPr="00F928B0" w:rsidRDefault="004A736C" w:rsidP="00A567D6">
            <w:pPr>
              <w:contextualSpacing/>
              <w:rPr>
                <w:rFonts w:cs="Arial"/>
              </w:rPr>
            </w:pPr>
            <w:r w:rsidRPr="00F928B0">
              <w:rPr>
                <w:rFonts w:cs="Arial"/>
              </w:rPr>
              <w:t>LGE, Chief Official, Teaching, CRAFT Workers</w:t>
            </w:r>
          </w:p>
        </w:tc>
      </w:tr>
      <w:tr w:rsidR="004A736C" w:rsidRPr="00F928B0" w14:paraId="4B58B329" w14:textId="77777777" w:rsidTr="00A567D6">
        <w:trPr>
          <w:trHeight w:val="419"/>
        </w:trPr>
        <w:tc>
          <w:tcPr>
            <w:tcW w:w="3256" w:type="dxa"/>
            <w:shd w:val="clear" w:color="auto" w:fill="auto"/>
          </w:tcPr>
          <w:p w14:paraId="047F7A7D" w14:textId="77777777" w:rsidR="004A736C" w:rsidRPr="00F928B0" w:rsidRDefault="004A736C" w:rsidP="00A567D6">
            <w:pPr>
              <w:contextualSpacing/>
              <w:rPr>
                <w:rFonts w:cs="Arial"/>
              </w:rPr>
            </w:pPr>
            <w:r w:rsidRPr="00F928B0">
              <w:rPr>
                <w:rFonts w:cs="Arial"/>
              </w:rPr>
              <w:t>Employee Groups Excluded</w:t>
            </w:r>
          </w:p>
        </w:tc>
        <w:tc>
          <w:tcPr>
            <w:tcW w:w="5670" w:type="dxa"/>
            <w:shd w:val="clear" w:color="auto" w:fill="auto"/>
          </w:tcPr>
          <w:p w14:paraId="298AC29C" w14:textId="77777777" w:rsidR="004A736C" w:rsidRPr="00F928B0" w:rsidRDefault="004A736C" w:rsidP="00A567D6">
            <w:pPr>
              <w:contextualSpacing/>
              <w:rPr>
                <w:rFonts w:cs="Arial"/>
              </w:rPr>
            </w:pPr>
            <w:r w:rsidRPr="00F928B0">
              <w:rPr>
                <w:rFonts w:cs="Arial"/>
              </w:rPr>
              <w:t>Agency workers</w:t>
            </w:r>
          </w:p>
        </w:tc>
      </w:tr>
      <w:tr w:rsidR="004A736C" w:rsidRPr="00F928B0" w14:paraId="4C8A7682" w14:textId="77777777" w:rsidTr="00A567D6">
        <w:trPr>
          <w:trHeight w:val="446"/>
        </w:trPr>
        <w:tc>
          <w:tcPr>
            <w:tcW w:w="3256" w:type="dxa"/>
            <w:shd w:val="clear" w:color="auto" w:fill="auto"/>
          </w:tcPr>
          <w:p w14:paraId="24DE1997" w14:textId="77777777" w:rsidR="004A736C" w:rsidRPr="00F928B0" w:rsidRDefault="004A736C" w:rsidP="00A567D6">
            <w:pPr>
              <w:contextualSpacing/>
              <w:rPr>
                <w:rFonts w:cs="Arial"/>
              </w:rPr>
            </w:pPr>
            <w:r w:rsidRPr="00F928B0">
              <w:rPr>
                <w:rFonts w:cs="Arial"/>
              </w:rPr>
              <w:t>Contracts in Scope</w:t>
            </w:r>
          </w:p>
        </w:tc>
        <w:tc>
          <w:tcPr>
            <w:tcW w:w="5670" w:type="dxa"/>
            <w:shd w:val="clear" w:color="auto" w:fill="auto"/>
          </w:tcPr>
          <w:p w14:paraId="77888CB2" w14:textId="77777777" w:rsidR="004A736C" w:rsidRPr="00F928B0" w:rsidRDefault="004A736C" w:rsidP="00A567D6">
            <w:pPr>
              <w:contextualSpacing/>
              <w:rPr>
                <w:rFonts w:cs="Arial"/>
              </w:rPr>
            </w:pPr>
            <w:r w:rsidRPr="00F928B0">
              <w:rPr>
                <w:rFonts w:cs="Arial"/>
              </w:rPr>
              <w:t>Permanent, Fixed Term, Temporary</w:t>
            </w:r>
          </w:p>
        </w:tc>
      </w:tr>
      <w:tr w:rsidR="004A736C" w:rsidRPr="00F928B0" w14:paraId="7B4D6A30" w14:textId="77777777" w:rsidTr="00A567D6">
        <w:trPr>
          <w:trHeight w:val="419"/>
        </w:trPr>
        <w:tc>
          <w:tcPr>
            <w:tcW w:w="3256" w:type="dxa"/>
            <w:shd w:val="clear" w:color="auto" w:fill="auto"/>
          </w:tcPr>
          <w:p w14:paraId="76F13E27" w14:textId="77777777" w:rsidR="004A736C" w:rsidRPr="00F928B0" w:rsidRDefault="004A736C" w:rsidP="00A567D6">
            <w:pPr>
              <w:contextualSpacing/>
              <w:rPr>
                <w:rFonts w:cs="Arial"/>
              </w:rPr>
            </w:pPr>
            <w:r w:rsidRPr="00F928B0">
              <w:rPr>
                <w:rFonts w:cs="Arial"/>
              </w:rPr>
              <w:t xml:space="preserve">Contracts Excluded </w:t>
            </w:r>
          </w:p>
        </w:tc>
        <w:tc>
          <w:tcPr>
            <w:tcW w:w="5670" w:type="dxa"/>
            <w:shd w:val="clear" w:color="auto" w:fill="auto"/>
          </w:tcPr>
          <w:p w14:paraId="1FEA51B6" w14:textId="77777777" w:rsidR="004A736C" w:rsidRPr="00F928B0" w:rsidRDefault="004A736C" w:rsidP="00A567D6">
            <w:pPr>
              <w:contextualSpacing/>
              <w:rPr>
                <w:rFonts w:cs="Arial"/>
              </w:rPr>
            </w:pPr>
            <w:r>
              <w:rPr>
                <w:rFonts w:cs="Arial"/>
              </w:rPr>
              <w:t>Casual Workers</w:t>
            </w:r>
          </w:p>
        </w:tc>
      </w:tr>
    </w:tbl>
    <w:p w14:paraId="63EFA0AE" w14:textId="77777777" w:rsidR="00D41B48" w:rsidRDefault="00D41B48" w:rsidP="00D41B48">
      <w:pPr>
        <w:pStyle w:val="ELC-ParaTitle2"/>
        <w:numPr>
          <w:ilvl w:val="0"/>
          <w:numId w:val="0"/>
        </w:numPr>
        <w:spacing w:after="0"/>
        <w:ind w:left="420"/>
        <w:rPr>
          <w:rFonts w:cs="Arial"/>
        </w:rPr>
      </w:pPr>
    </w:p>
    <w:p w14:paraId="7AF42D1E" w14:textId="35A25393" w:rsidR="00FE3B5E" w:rsidRPr="004757C1" w:rsidRDefault="004757C1" w:rsidP="00A567D6">
      <w:pPr>
        <w:pStyle w:val="ELC-ParaTitle2"/>
        <w:tabs>
          <w:tab w:val="clear" w:pos="420"/>
          <w:tab w:val="clear" w:pos="680"/>
        </w:tabs>
        <w:ind w:left="709" w:hanging="709"/>
        <w:jc w:val="both"/>
        <w:rPr>
          <w:rFonts w:cs="Arial"/>
        </w:rPr>
      </w:pPr>
      <w:r>
        <w:rPr>
          <w:rFonts w:cs="Arial"/>
        </w:rPr>
        <w:t xml:space="preserve">ELC </w:t>
      </w:r>
      <w:r w:rsidR="00472C9D">
        <w:rPr>
          <w:rFonts w:cs="Arial"/>
        </w:rPr>
        <w:t>is</w:t>
      </w:r>
      <w:r w:rsidR="00FE3B5E" w:rsidRPr="004757C1">
        <w:rPr>
          <w:rFonts w:cs="Arial"/>
        </w:rPr>
        <w:t xml:space="preserve"> required to calculate the required information</w:t>
      </w:r>
      <w:r>
        <w:rPr>
          <w:rFonts w:cs="Arial"/>
        </w:rPr>
        <w:t xml:space="preserve"> as set out in the regulations.</w:t>
      </w:r>
      <w:r w:rsidR="00AB0261" w:rsidRPr="004757C1">
        <w:rPr>
          <w:rFonts w:cs="Arial"/>
        </w:rPr>
        <w:t xml:space="preserve"> </w:t>
      </w:r>
    </w:p>
    <w:p w14:paraId="0473C60C" w14:textId="4F18AF8A" w:rsidR="00FE3B5E" w:rsidRPr="00AE6338" w:rsidRDefault="00472C9D" w:rsidP="00E8614F">
      <w:pPr>
        <w:pStyle w:val="ListParagraph"/>
        <w:numPr>
          <w:ilvl w:val="0"/>
          <w:numId w:val="19"/>
        </w:numPr>
        <w:ind w:left="1418" w:hanging="709"/>
        <w:jc w:val="both"/>
        <w:rPr>
          <w:rFonts w:cs="Arial"/>
          <w:bCs/>
        </w:rPr>
      </w:pPr>
      <w:r>
        <w:rPr>
          <w:rFonts w:cs="Arial"/>
          <w:bCs/>
        </w:rPr>
        <w:t>Its</w:t>
      </w:r>
      <w:r w:rsidR="00FE3B5E" w:rsidRPr="00AE6338">
        <w:rPr>
          <w:rFonts w:cs="Arial"/>
          <w:bCs/>
        </w:rPr>
        <w:t xml:space="preserve"> mean</w:t>
      </w:r>
      <w:r w:rsidR="00B30EA3" w:rsidRPr="00AE6338">
        <w:t xml:space="preserve"> </w:t>
      </w:r>
      <w:r w:rsidR="00B30EA3" w:rsidRPr="00AE6338">
        <w:rPr>
          <w:rFonts w:cs="Arial"/>
        </w:rPr>
        <w:t xml:space="preserve">gender </w:t>
      </w:r>
      <w:r w:rsidR="00FE3B5E" w:rsidRPr="00AE6338">
        <w:rPr>
          <w:rFonts w:cs="Arial"/>
          <w:bCs/>
        </w:rPr>
        <w:t>pay gap.</w:t>
      </w:r>
    </w:p>
    <w:p w14:paraId="68816E6F" w14:textId="1811B386" w:rsidR="00FE3B5E" w:rsidRPr="00AE6338" w:rsidRDefault="00472C9D" w:rsidP="00E8614F">
      <w:pPr>
        <w:pStyle w:val="ListParagraph"/>
        <w:numPr>
          <w:ilvl w:val="0"/>
          <w:numId w:val="19"/>
        </w:numPr>
        <w:ind w:left="1418" w:hanging="709"/>
        <w:jc w:val="both"/>
        <w:rPr>
          <w:rFonts w:cs="Arial"/>
          <w:bCs/>
        </w:rPr>
      </w:pPr>
      <w:r>
        <w:rPr>
          <w:rFonts w:cs="Arial"/>
          <w:bCs/>
        </w:rPr>
        <w:t>Its</w:t>
      </w:r>
      <w:r w:rsidR="00FE3B5E" w:rsidRPr="00AE6338">
        <w:rPr>
          <w:rFonts w:cs="Arial"/>
          <w:bCs/>
        </w:rPr>
        <w:t xml:space="preserve"> median </w:t>
      </w:r>
      <w:r w:rsidR="005465CE" w:rsidRPr="00AE6338">
        <w:rPr>
          <w:rFonts w:cs="Arial"/>
        </w:rPr>
        <w:t xml:space="preserve">gender </w:t>
      </w:r>
      <w:r w:rsidR="00FE3B5E" w:rsidRPr="00AE6338">
        <w:rPr>
          <w:rFonts w:cs="Arial"/>
          <w:bCs/>
        </w:rPr>
        <w:t>pay gap.</w:t>
      </w:r>
    </w:p>
    <w:p w14:paraId="48767B61" w14:textId="3A292D06" w:rsidR="00FE3B5E" w:rsidRDefault="00AA1A46" w:rsidP="00E8614F">
      <w:pPr>
        <w:pStyle w:val="ListParagraph"/>
        <w:numPr>
          <w:ilvl w:val="0"/>
          <w:numId w:val="19"/>
        </w:numPr>
        <w:ind w:left="1418" w:hanging="709"/>
        <w:jc w:val="both"/>
        <w:rPr>
          <w:rFonts w:cs="Arial"/>
          <w:bCs/>
        </w:rPr>
      </w:pPr>
      <w:r>
        <w:rPr>
          <w:rFonts w:cs="Arial"/>
          <w:bCs/>
        </w:rPr>
        <w:t>The</w:t>
      </w:r>
      <w:r w:rsidR="00FE3B5E" w:rsidRPr="00AE6338">
        <w:rPr>
          <w:rFonts w:cs="Arial"/>
          <w:bCs/>
        </w:rPr>
        <w:t xml:space="preserve"> proportion of </w:t>
      </w:r>
      <w:r w:rsidR="00B30EA3" w:rsidRPr="00AE6338">
        <w:rPr>
          <w:rFonts w:cs="Arial"/>
          <w:bCs/>
        </w:rPr>
        <w:t xml:space="preserve">each </w:t>
      </w:r>
      <w:r w:rsidR="00927632">
        <w:t>gender</w:t>
      </w:r>
      <w:r w:rsidR="005465CE" w:rsidRPr="00AE6338">
        <w:rPr>
          <w:rFonts w:cs="Arial"/>
        </w:rPr>
        <w:t xml:space="preserve"> </w:t>
      </w:r>
      <w:r w:rsidR="00FE3B5E" w:rsidRPr="00AE6338">
        <w:rPr>
          <w:rFonts w:cs="Arial"/>
          <w:bCs/>
        </w:rPr>
        <w:t xml:space="preserve">in each quartile </w:t>
      </w:r>
      <w:proofErr w:type="gramStart"/>
      <w:r w:rsidR="00FE3B5E" w:rsidRPr="00AE6338">
        <w:rPr>
          <w:rFonts w:cs="Arial"/>
          <w:bCs/>
        </w:rPr>
        <w:t>pay</w:t>
      </w:r>
      <w:proofErr w:type="gramEnd"/>
      <w:r w:rsidR="00FE3B5E" w:rsidRPr="00AE6338">
        <w:rPr>
          <w:rFonts w:cs="Arial"/>
          <w:bCs/>
        </w:rPr>
        <w:t xml:space="preserve"> band.</w:t>
      </w:r>
    </w:p>
    <w:p w14:paraId="04681707" w14:textId="77777777" w:rsidR="00FE3B5E" w:rsidRDefault="00A30429" w:rsidP="00A567D6">
      <w:pPr>
        <w:pStyle w:val="ELC-ParaTitle2"/>
        <w:numPr>
          <w:ilvl w:val="0"/>
          <w:numId w:val="0"/>
        </w:numPr>
        <w:tabs>
          <w:tab w:val="clear" w:pos="680"/>
        </w:tabs>
        <w:spacing w:after="0"/>
        <w:ind w:left="709" w:hanging="709"/>
        <w:jc w:val="both"/>
        <w:rPr>
          <w:rFonts w:cs="Arial"/>
        </w:rPr>
      </w:pPr>
      <w:r>
        <w:rPr>
          <w:rFonts w:cs="Arial"/>
        </w:rPr>
        <w:t xml:space="preserve"> </w:t>
      </w:r>
    </w:p>
    <w:p w14:paraId="28481267" w14:textId="77777777" w:rsidR="00FE3B5E" w:rsidRDefault="00FE3B5E" w:rsidP="00A567D6">
      <w:pPr>
        <w:pStyle w:val="ELC-ParaTitle2"/>
        <w:tabs>
          <w:tab w:val="clear" w:pos="420"/>
          <w:tab w:val="clear" w:pos="680"/>
          <w:tab w:val="num" w:pos="709"/>
        </w:tabs>
        <w:ind w:left="709" w:hanging="709"/>
        <w:jc w:val="both"/>
        <w:rPr>
          <w:rFonts w:cs="Arial"/>
        </w:rPr>
      </w:pPr>
      <w:r w:rsidRPr="00FE3B5E">
        <w:rPr>
          <w:rFonts w:cs="Arial"/>
        </w:rPr>
        <w:t xml:space="preserve">There are specific rules set out in the regulations which employers must follow in relation </w:t>
      </w:r>
      <w:r w:rsidR="00B30EA3">
        <w:rPr>
          <w:rFonts w:cs="Arial"/>
        </w:rPr>
        <w:t>to how they calculate the</w:t>
      </w:r>
      <w:r w:rsidRPr="00FE3B5E">
        <w:rPr>
          <w:rFonts w:cs="Arial"/>
        </w:rPr>
        <w:t xml:space="preserve"> pay gap</w:t>
      </w:r>
      <w:r w:rsidR="00B30EA3">
        <w:rPr>
          <w:rFonts w:cs="Arial"/>
        </w:rPr>
        <w:t xml:space="preserve"> figures</w:t>
      </w:r>
      <w:r w:rsidR="00D41B48">
        <w:rPr>
          <w:rFonts w:cs="Arial"/>
        </w:rPr>
        <w:t>:</w:t>
      </w:r>
    </w:p>
    <w:p w14:paraId="6FF6CF5C" w14:textId="77777777" w:rsidR="00CF5BE4" w:rsidRPr="00FE3B5E" w:rsidRDefault="00CF5BE4" w:rsidP="00E8614F">
      <w:pPr>
        <w:pStyle w:val="ListParagraph"/>
        <w:numPr>
          <w:ilvl w:val="0"/>
          <w:numId w:val="19"/>
        </w:numPr>
        <w:ind w:left="1418" w:hanging="709"/>
        <w:jc w:val="both"/>
        <w:rPr>
          <w:rFonts w:cs="Arial"/>
          <w:bCs/>
        </w:rPr>
      </w:pPr>
      <w:r w:rsidRPr="00FE3B5E">
        <w:rPr>
          <w:rFonts w:cs="Arial"/>
          <w:bCs/>
        </w:rPr>
        <w:t>A month must be treated as 30.44 days</w:t>
      </w:r>
      <w:r>
        <w:rPr>
          <w:rFonts w:cs="Arial"/>
          <w:bCs/>
        </w:rPr>
        <w:t>.</w:t>
      </w:r>
    </w:p>
    <w:p w14:paraId="6A7DE35F" w14:textId="77777777" w:rsidR="002F04AE" w:rsidRDefault="00CF5BE4" w:rsidP="00E8614F">
      <w:pPr>
        <w:pStyle w:val="ListParagraph"/>
        <w:numPr>
          <w:ilvl w:val="0"/>
          <w:numId w:val="19"/>
        </w:numPr>
        <w:ind w:left="1418" w:hanging="709"/>
        <w:jc w:val="both"/>
        <w:rPr>
          <w:rFonts w:cs="Arial"/>
          <w:bCs/>
        </w:rPr>
      </w:pPr>
      <w:r w:rsidRPr="00FE3B5E">
        <w:rPr>
          <w:rFonts w:cs="Arial"/>
          <w:bCs/>
        </w:rPr>
        <w:t>A year must be treated as 365.25 days</w:t>
      </w:r>
      <w:r>
        <w:rPr>
          <w:rFonts w:cs="Arial"/>
          <w:bCs/>
        </w:rPr>
        <w:t>.</w:t>
      </w:r>
    </w:p>
    <w:p w14:paraId="7A88A387" w14:textId="77777777" w:rsidR="00B95AFC" w:rsidRDefault="00CF5BE4" w:rsidP="00E8614F">
      <w:pPr>
        <w:pStyle w:val="ListParagraph"/>
        <w:numPr>
          <w:ilvl w:val="0"/>
          <w:numId w:val="19"/>
        </w:numPr>
        <w:ind w:left="1418" w:hanging="709"/>
        <w:jc w:val="both"/>
        <w:rPr>
          <w:rFonts w:cs="Arial"/>
          <w:bCs/>
        </w:rPr>
      </w:pPr>
      <w:r w:rsidRPr="00B95AFC">
        <w:rPr>
          <w:rFonts w:cs="Arial"/>
          <w:bCs/>
        </w:rPr>
        <w:t xml:space="preserve">When calculating quartile data; the workforce must be divided into four </w:t>
      </w:r>
      <w:r w:rsidR="002F04AE" w:rsidRPr="00B95AFC">
        <w:rPr>
          <w:rFonts w:cs="Arial"/>
          <w:bCs/>
        </w:rPr>
        <w:t>equal sized groups of full-pay relevant employees</w:t>
      </w:r>
      <w:r w:rsidR="002F04AE" w:rsidRPr="00B95AFC">
        <w:rPr>
          <w:rFonts w:cs="Arial"/>
        </w:rPr>
        <w:t xml:space="preserve"> based on their hourly pay</w:t>
      </w:r>
      <w:r w:rsidRPr="00B95AFC">
        <w:rPr>
          <w:rFonts w:cs="Arial"/>
          <w:bCs/>
        </w:rPr>
        <w:t xml:space="preserve">. </w:t>
      </w:r>
    </w:p>
    <w:p w14:paraId="14F76A54" w14:textId="3A8EA212" w:rsidR="00B95AFC" w:rsidRPr="00D921E6" w:rsidRDefault="00B95AFC" w:rsidP="00D921E6">
      <w:pPr>
        <w:pStyle w:val="ListParagraph"/>
        <w:numPr>
          <w:ilvl w:val="0"/>
          <w:numId w:val="19"/>
        </w:numPr>
        <w:ind w:left="1418" w:hanging="709"/>
        <w:jc w:val="both"/>
        <w:rPr>
          <w:rFonts w:cs="Arial"/>
          <w:bCs/>
        </w:rPr>
      </w:pPr>
      <w:r>
        <w:rPr>
          <w:rFonts w:cs="Arial"/>
          <w:bCs/>
        </w:rPr>
        <w:t xml:space="preserve">Should </w:t>
      </w:r>
      <w:r w:rsidRPr="00B95AFC">
        <w:rPr>
          <w:rFonts w:cs="Arial"/>
        </w:rPr>
        <w:t>em</w:t>
      </w:r>
      <w:r>
        <w:rPr>
          <w:rFonts w:cs="Arial"/>
        </w:rPr>
        <w:t xml:space="preserve">ployees on the same hourly pay </w:t>
      </w:r>
      <w:r w:rsidRPr="00B95AFC">
        <w:rPr>
          <w:rFonts w:cs="Arial"/>
        </w:rPr>
        <w:t xml:space="preserve">overlap between hourly pay quarters, </w:t>
      </w:r>
      <w:r>
        <w:rPr>
          <w:rFonts w:cs="Arial"/>
        </w:rPr>
        <w:t xml:space="preserve">employees should be </w:t>
      </w:r>
      <w:r w:rsidRPr="00B95AFC">
        <w:rPr>
          <w:rFonts w:cs="Arial"/>
        </w:rPr>
        <w:t xml:space="preserve">split as evenly as possible across </w:t>
      </w:r>
      <w:r>
        <w:rPr>
          <w:rFonts w:cs="Arial"/>
        </w:rPr>
        <w:t>the quartiles either side of the overlap – with respect to the gender distribution of that hourly pay.</w:t>
      </w:r>
    </w:p>
    <w:p w14:paraId="72B6CA1E" w14:textId="77777777" w:rsidR="00CF5BE4" w:rsidRDefault="00CF5BE4" w:rsidP="00A567D6">
      <w:pPr>
        <w:pStyle w:val="ELC-ParaTitle2"/>
        <w:tabs>
          <w:tab w:val="clear" w:pos="420"/>
          <w:tab w:val="clear" w:pos="680"/>
        </w:tabs>
        <w:ind w:left="709" w:hanging="709"/>
        <w:jc w:val="both"/>
        <w:rPr>
          <w:rFonts w:cs="Arial"/>
        </w:rPr>
      </w:pPr>
      <w:r w:rsidRPr="00CF5BE4">
        <w:rPr>
          <w:rFonts w:cs="Arial"/>
        </w:rPr>
        <w:t xml:space="preserve">It is a legal requirement for all relevant employers to publish </w:t>
      </w:r>
      <w:r w:rsidRPr="00AE6338">
        <w:rPr>
          <w:rFonts w:cs="Arial"/>
        </w:rPr>
        <w:t xml:space="preserve">their </w:t>
      </w:r>
      <w:r w:rsidR="005325C9">
        <w:rPr>
          <w:rFonts w:cs="Arial"/>
        </w:rPr>
        <w:t xml:space="preserve">gender pay gap </w:t>
      </w:r>
      <w:r w:rsidRPr="00AE6338">
        <w:rPr>
          <w:rFonts w:cs="Arial"/>
        </w:rPr>
        <w:t>report.  Failing to do so within one year of the</w:t>
      </w:r>
      <w:r w:rsidRPr="00CF5BE4">
        <w:rPr>
          <w:rFonts w:cs="Arial"/>
        </w:rPr>
        <w:t xml:space="preserve"> snapshot date is unlawful.</w:t>
      </w:r>
    </w:p>
    <w:p w14:paraId="6974C42D" w14:textId="77777777" w:rsidR="006A58F7" w:rsidRDefault="00CF5BE4" w:rsidP="00A567D6">
      <w:pPr>
        <w:pStyle w:val="ELC-ParaTitle2"/>
        <w:tabs>
          <w:tab w:val="clear" w:pos="420"/>
          <w:tab w:val="clear" w:pos="680"/>
        </w:tabs>
        <w:ind w:left="709" w:hanging="709"/>
        <w:jc w:val="both"/>
      </w:pPr>
      <w:r w:rsidRPr="00CF5BE4">
        <w:t>The Equality and Human Rights Commission has the power to enforce any failure to comply with the regulations.</w:t>
      </w:r>
    </w:p>
    <w:p w14:paraId="2784A89C" w14:textId="77777777" w:rsidR="00A32BAE" w:rsidRDefault="00A32BAE" w:rsidP="00A567D6">
      <w:pPr>
        <w:pStyle w:val="ELC-ParaTitle"/>
        <w:numPr>
          <w:ilvl w:val="0"/>
          <w:numId w:val="0"/>
        </w:numPr>
        <w:tabs>
          <w:tab w:val="clear" w:pos="680"/>
        </w:tabs>
        <w:ind w:left="420" w:firstLine="289"/>
        <w:jc w:val="both"/>
        <w:rPr>
          <w:rFonts w:cs="Arial"/>
        </w:rPr>
      </w:pPr>
    </w:p>
    <w:p w14:paraId="1B06B25D" w14:textId="5BE97D9C" w:rsidR="002F04AE" w:rsidRPr="00D41B48" w:rsidRDefault="00A567D6" w:rsidP="00A567D6">
      <w:pPr>
        <w:pStyle w:val="ELC-ParaTitle"/>
        <w:numPr>
          <w:ilvl w:val="0"/>
          <w:numId w:val="0"/>
        </w:numPr>
        <w:tabs>
          <w:tab w:val="clear" w:pos="680"/>
        </w:tabs>
        <w:ind w:left="420" w:firstLine="289"/>
        <w:jc w:val="both"/>
        <w:rPr>
          <w:u w:val="single"/>
        </w:rPr>
      </w:pPr>
      <w:r w:rsidRPr="006A58F7">
        <w:rPr>
          <w:rFonts w:cs="Arial"/>
        </w:rPr>
        <w:t>Gender Pay Gap</w:t>
      </w:r>
    </w:p>
    <w:p w14:paraId="6AF56CBA" w14:textId="77777777" w:rsidR="00BE7E77" w:rsidRDefault="00D41B48" w:rsidP="00A567D6">
      <w:pPr>
        <w:pStyle w:val="ELC-ParaTitle"/>
        <w:numPr>
          <w:ilvl w:val="0"/>
          <w:numId w:val="0"/>
        </w:numPr>
        <w:tabs>
          <w:tab w:val="clear" w:pos="680"/>
        </w:tabs>
        <w:ind w:left="709"/>
        <w:jc w:val="both"/>
        <w:rPr>
          <w:b w:val="0"/>
        </w:rPr>
      </w:pPr>
      <w:r w:rsidRPr="00D41B48">
        <w:rPr>
          <w:b w:val="0"/>
          <w:u w:val="single"/>
        </w:rPr>
        <w:t xml:space="preserve">Gender </w:t>
      </w:r>
      <w:r w:rsidR="004A736C" w:rsidRPr="00D41B48">
        <w:rPr>
          <w:b w:val="0"/>
          <w:u w:val="single"/>
        </w:rPr>
        <w:t>Pay Gap - What is it?</w:t>
      </w:r>
    </w:p>
    <w:p w14:paraId="64591EB1" w14:textId="43103081" w:rsidR="00BE7E77" w:rsidRDefault="00F1593E" w:rsidP="00A567D6">
      <w:pPr>
        <w:pStyle w:val="ELC-ParaTitle"/>
        <w:numPr>
          <w:ilvl w:val="0"/>
          <w:numId w:val="0"/>
        </w:numPr>
        <w:tabs>
          <w:tab w:val="clear" w:pos="680"/>
        </w:tabs>
        <w:ind w:left="709" w:hanging="709"/>
        <w:jc w:val="both"/>
        <w:rPr>
          <w:b w:val="0"/>
        </w:rPr>
      </w:pPr>
      <w:r>
        <w:rPr>
          <w:b w:val="0"/>
        </w:rPr>
        <w:t>3</w:t>
      </w:r>
      <w:r w:rsidR="00A567D6">
        <w:rPr>
          <w:b w:val="0"/>
        </w:rPr>
        <w:t>.1</w:t>
      </w:r>
      <w:r w:rsidR="000317EE">
        <w:rPr>
          <w:b w:val="0"/>
        </w:rPr>
        <w:t>3</w:t>
      </w:r>
      <w:r w:rsidR="00A567D6">
        <w:rPr>
          <w:b w:val="0"/>
        </w:rPr>
        <w:tab/>
      </w:r>
      <w:r w:rsidR="002630C7">
        <w:rPr>
          <w:b w:val="0"/>
        </w:rPr>
        <w:t>G</w:t>
      </w:r>
      <w:r w:rsidR="00C8443C" w:rsidRPr="00C8443C">
        <w:rPr>
          <w:b w:val="0"/>
        </w:rPr>
        <w:t>ender pay gap is expressed as a percentage</w:t>
      </w:r>
      <w:r w:rsidR="00C8443C">
        <w:rPr>
          <w:b w:val="0"/>
        </w:rPr>
        <w:t xml:space="preserve"> and</w:t>
      </w:r>
      <w:r w:rsidR="00C8443C" w:rsidRPr="00C8443C">
        <w:rPr>
          <w:b w:val="0"/>
        </w:rPr>
        <w:t xml:space="preserve"> is calculated by working out the difference between the average pay of all male employees and the average pay of all female employees. </w:t>
      </w:r>
    </w:p>
    <w:p w14:paraId="49FB67B5" w14:textId="5EDCFAD5" w:rsidR="004757C1" w:rsidRDefault="00C8443C" w:rsidP="00A567D6">
      <w:pPr>
        <w:pStyle w:val="ELC-ParaTitle"/>
        <w:numPr>
          <w:ilvl w:val="0"/>
          <w:numId w:val="0"/>
        </w:numPr>
        <w:tabs>
          <w:tab w:val="clear" w:pos="680"/>
        </w:tabs>
        <w:ind w:left="709"/>
        <w:jc w:val="both"/>
        <w:rPr>
          <w:b w:val="0"/>
        </w:rPr>
      </w:pPr>
      <w:r>
        <w:rPr>
          <w:b w:val="0"/>
        </w:rPr>
        <w:t xml:space="preserve">A negative pay gap figure </w:t>
      </w:r>
      <w:r w:rsidR="00594E72">
        <w:rPr>
          <w:b w:val="0"/>
        </w:rPr>
        <w:t xml:space="preserve">for example </w:t>
      </w:r>
      <w:r w:rsidRPr="00C8443C">
        <w:rPr>
          <w:b w:val="0"/>
        </w:rPr>
        <w:t>mean</w:t>
      </w:r>
      <w:r>
        <w:rPr>
          <w:b w:val="0"/>
        </w:rPr>
        <w:t>s</w:t>
      </w:r>
      <w:r w:rsidRPr="00C8443C">
        <w:rPr>
          <w:b w:val="0"/>
        </w:rPr>
        <w:t xml:space="preserve"> that the average pay of men is lower than the average pay of women.</w:t>
      </w:r>
      <w:r>
        <w:rPr>
          <w:b w:val="0"/>
        </w:rPr>
        <w:t xml:space="preserve"> </w:t>
      </w:r>
      <w:r w:rsidR="004A736C" w:rsidRPr="00D41B48">
        <w:rPr>
          <w:b w:val="0"/>
        </w:rPr>
        <w:t>Within East Lothian Council all employees are paid equally for doing equivalent jobs</w:t>
      </w:r>
      <w:r w:rsidR="00A567D6">
        <w:rPr>
          <w:b w:val="0"/>
        </w:rPr>
        <w:t>.</w:t>
      </w:r>
      <w:r w:rsidR="00E21B8F">
        <w:rPr>
          <w:b w:val="0"/>
        </w:rPr>
        <w:t xml:space="preserve">  All roles are evaluated using the Scottish Joint Council Job Evaluation Scheme.</w:t>
      </w:r>
    </w:p>
    <w:p w14:paraId="4CC66AD0" w14:textId="77777777" w:rsidR="00A567D6" w:rsidRPr="00D41B48" w:rsidRDefault="00A567D6" w:rsidP="00A567D6">
      <w:pPr>
        <w:pStyle w:val="ELC-ParaTitle"/>
        <w:numPr>
          <w:ilvl w:val="0"/>
          <w:numId w:val="0"/>
        </w:numPr>
        <w:tabs>
          <w:tab w:val="clear" w:pos="680"/>
        </w:tabs>
        <w:ind w:left="709"/>
        <w:jc w:val="both"/>
        <w:rPr>
          <w:b w:val="0"/>
        </w:rPr>
      </w:pPr>
    </w:p>
    <w:p w14:paraId="72FC8227" w14:textId="77777777" w:rsidR="00CF5BE4" w:rsidRPr="00CF5BE4" w:rsidRDefault="00CF5BE4" w:rsidP="00A567D6">
      <w:pPr>
        <w:pStyle w:val="ELC-ParaTitle2"/>
        <w:numPr>
          <w:ilvl w:val="0"/>
          <w:numId w:val="0"/>
        </w:numPr>
        <w:tabs>
          <w:tab w:val="clear" w:pos="680"/>
        </w:tabs>
        <w:ind w:left="709"/>
        <w:jc w:val="both"/>
        <w:rPr>
          <w:rFonts w:cs="Arial"/>
          <w:b/>
        </w:rPr>
      </w:pPr>
      <w:r w:rsidRPr="00CF5BE4">
        <w:rPr>
          <w:rFonts w:cs="Arial"/>
          <w:b/>
        </w:rPr>
        <w:t>General Findings</w:t>
      </w:r>
    </w:p>
    <w:p w14:paraId="5C1A1524" w14:textId="2A72D2CD" w:rsidR="00CF5BE4" w:rsidRPr="00604236" w:rsidRDefault="00F1593E" w:rsidP="00A567D6">
      <w:pPr>
        <w:pStyle w:val="ELC-ParaTitle2"/>
        <w:numPr>
          <w:ilvl w:val="0"/>
          <w:numId w:val="0"/>
        </w:numPr>
        <w:tabs>
          <w:tab w:val="clear" w:pos="680"/>
        </w:tabs>
        <w:ind w:left="709" w:hanging="709"/>
        <w:jc w:val="both"/>
      </w:pPr>
      <w:r>
        <w:t>3</w:t>
      </w:r>
      <w:r w:rsidR="00A567D6">
        <w:t>.1</w:t>
      </w:r>
      <w:r w:rsidR="000317EE">
        <w:t>4</w:t>
      </w:r>
      <w:r w:rsidR="00A567D6">
        <w:tab/>
      </w:r>
      <w:r w:rsidR="00267EBE" w:rsidRPr="00604236">
        <w:t>The headcount of employees</w:t>
      </w:r>
      <w:r w:rsidR="003C47B4">
        <w:t xml:space="preserve"> in East Lothian Council </w:t>
      </w:r>
      <w:r w:rsidR="00541072">
        <w:t xml:space="preserve">was </w:t>
      </w:r>
      <w:r w:rsidR="00541072" w:rsidRPr="008871A9">
        <w:t>4</w:t>
      </w:r>
      <w:r w:rsidR="00692CF9" w:rsidRPr="008871A9">
        <w:t>973</w:t>
      </w:r>
      <w:r w:rsidR="00541072">
        <w:t xml:space="preserve"> </w:t>
      </w:r>
      <w:r w:rsidR="00267EBE" w:rsidRPr="00604236">
        <w:t xml:space="preserve">as </w:t>
      </w:r>
      <w:r w:rsidR="00541072">
        <w:t>at</w:t>
      </w:r>
      <w:r w:rsidR="00267EBE" w:rsidRPr="00604236">
        <w:t xml:space="preserve"> the s</w:t>
      </w:r>
      <w:r w:rsidR="00604236" w:rsidRPr="00604236">
        <w:t xml:space="preserve">napshot date </w:t>
      </w:r>
      <w:r w:rsidR="00541072">
        <w:t>(</w:t>
      </w:r>
      <w:r w:rsidR="00541072" w:rsidRPr="008871A9">
        <w:t>31</w:t>
      </w:r>
      <w:r w:rsidR="00541072" w:rsidRPr="008871A9">
        <w:rPr>
          <w:vertAlign w:val="superscript"/>
        </w:rPr>
        <w:t>st</w:t>
      </w:r>
      <w:r w:rsidR="00541072" w:rsidRPr="008871A9">
        <w:t xml:space="preserve"> March 202</w:t>
      </w:r>
      <w:r w:rsidR="00C3686A" w:rsidRPr="008871A9">
        <w:t>4</w:t>
      </w:r>
      <w:r w:rsidR="00541072">
        <w:t>).</w:t>
      </w:r>
      <w:r w:rsidR="00267EBE" w:rsidRPr="00604236">
        <w:t xml:space="preserve"> The </w:t>
      </w:r>
      <w:r w:rsidR="00540119" w:rsidRPr="00540119">
        <w:t xml:space="preserve">percentage of </w:t>
      </w:r>
      <w:r w:rsidR="00540119">
        <w:t>East Lothian</w:t>
      </w:r>
      <w:r w:rsidR="00695345">
        <w:t xml:space="preserve"> Council</w:t>
      </w:r>
      <w:r w:rsidR="00540119">
        <w:t xml:space="preserve"> </w:t>
      </w:r>
      <w:r w:rsidR="00540119" w:rsidRPr="00540119">
        <w:t xml:space="preserve">employees in each </w:t>
      </w:r>
      <w:r w:rsidR="00540119">
        <w:t>gender</w:t>
      </w:r>
      <w:r w:rsidR="00540119" w:rsidRPr="00540119">
        <w:t xml:space="preserve"> analysis group</w:t>
      </w:r>
      <w:r w:rsidR="00541072">
        <w:t xml:space="preserve"> was</w:t>
      </w:r>
      <w:r w:rsidR="00267EBE" w:rsidRPr="00604236">
        <w:t>:</w:t>
      </w:r>
    </w:p>
    <w:p w14:paraId="6FA9F365" w14:textId="19489F3C" w:rsidR="00540119" w:rsidRPr="008871A9" w:rsidRDefault="00540119" w:rsidP="00A567D6">
      <w:pPr>
        <w:pStyle w:val="ELC-ParaTitle2"/>
        <w:numPr>
          <w:ilvl w:val="0"/>
          <w:numId w:val="0"/>
        </w:numPr>
        <w:tabs>
          <w:tab w:val="clear" w:pos="680"/>
        </w:tabs>
        <w:spacing w:after="0"/>
        <w:ind w:left="709" w:firstLine="11"/>
        <w:jc w:val="both"/>
        <w:rPr>
          <w:rFonts w:cs="Arial"/>
        </w:rPr>
      </w:pPr>
      <w:r w:rsidRPr="008871A9">
        <w:rPr>
          <w:rFonts w:cs="Arial"/>
        </w:rPr>
        <w:t xml:space="preserve">Female: </w:t>
      </w:r>
      <w:r w:rsidR="003C21E9" w:rsidRPr="008871A9">
        <w:rPr>
          <w:rFonts w:cs="Arial"/>
        </w:rPr>
        <w:t>69</w:t>
      </w:r>
      <w:r w:rsidR="00541072" w:rsidRPr="008871A9">
        <w:rPr>
          <w:rFonts w:cs="Arial"/>
        </w:rPr>
        <w:t>.</w:t>
      </w:r>
      <w:r w:rsidR="003C21E9" w:rsidRPr="008871A9">
        <w:rPr>
          <w:rFonts w:cs="Arial"/>
        </w:rPr>
        <w:t>7</w:t>
      </w:r>
      <w:r w:rsidR="00541072" w:rsidRPr="008871A9">
        <w:rPr>
          <w:rFonts w:cs="Arial"/>
        </w:rPr>
        <w:t>5</w:t>
      </w:r>
      <w:r w:rsidR="00394F96" w:rsidRPr="008871A9">
        <w:rPr>
          <w:rFonts w:cs="Arial"/>
        </w:rPr>
        <w:t xml:space="preserve"> </w:t>
      </w:r>
      <w:r w:rsidR="00541072" w:rsidRPr="008871A9">
        <w:rPr>
          <w:rFonts w:cs="Arial"/>
        </w:rPr>
        <w:t>%</w:t>
      </w:r>
    </w:p>
    <w:p w14:paraId="65EB6A6B" w14:textId="0F03406F" w:rsidR="00267EBE" w:rsidRDefault="00EB2FCD" w:rsidP="00A567D6">
      <w:pPr>
        <w:pStyle w:val="ELC-ParaTitle2"/>
        <w:numPr>
          <w:ilvl w:val="0"/>
          <w:numId w:val="0"/>
        </w:numPr>
        <w:tabs>
          <w:tab w:val="clear" w:pos="680"/>
        </w:tabs>
        <w:ind w:left="709"/>
        <w:jc w:val="both"/>
        <w:rPr>
          <w:rFonts w:cs="Arial"/>
        </w:rPr>
      </w:pPr>
      <w:r w:rsidRPr="008871A9">
        <w:rPr>
          <w:rFonts w:cs="Arial"/>
        </w:rPr>
        <w:t>M</w:t>
      </w:r>
      <w:r w:rsidR="00540119" w:rsidRPr="008871A9">
        <w:rPr>
          <w:rFonts w:cs="Arial"/>
        </w:rPr>
        <w:t xml:space="preserve">ale: </w:t>
      </w:r>
      <w:r w:rsidR="00541072" w:rsidRPr="008871A9">
        <w:rPr>
          <w:rFonts w:cs="Arial"/>
        </w:rPr>
        <w:t>2</w:t>
      </w:r>
      <w:r w:rsidR="00D64A4B" w:rsidRPr="008871A9">
        <w:rPr>
          <w:rFonts w:cs="Arial"/>
        </w:rPr>
        <w:t>6</w:t>
      </w:r>
      <w:r w:rsidR="00541072" w:rsidRPr="008871A9">
        <w:rPr>
          <w:rFonts w:cs="Arial"/>
        </w:rPr>
        <w:t>.</w:t>
      </w:r>
      <w:r w:rsidR="00D64A4B" w:rsidRPr="008871A9">
        <w:rPr>
          <w:rFonts w:cs="Arial"/>
        </w:rPr>
        <w:t>84</w:t>
      </w:r>
      <w:r w:rsidR="00541072" w:rsidRPr="008871A9">
        <w:rPr>
          <w:rFonts w:cs="Arial"/>
        </w:rPr>
        <w:t xml:space="preserve"> %</w:t>
      </w:r>
    </w:p>
    <w:p w14:paraId="135E671C" w14:textId="19FE7922" w:rsidR="00267EBE" w:rsidRPr="00D41B48" w:rsidRDefault="00492FF9" w:rsidP="00A567D6">
      <w:pPr>
        <w:pStyle w:val="ELC-ParaTitle2"/>
        <w:numPr>
          <w:ilvl w:val="0"/>
          <w:numId w:val="0"/>
        </w:numPr>
        <w:tabs>
          <w:tab w:val="clear" w:pos="680"/>
        </w:tabs>
        <w:ind w:left="720" w:hanging="720"/>
        <w:jc w:val="both"/>
        <w:rPr>
          <w:rFonts w:cs="Arial"/>
        </w:rPr>
      </w:pPr>
      <w:r>
        <w:rPr>
          <w:rFonts w:cs="Arial"/>
        </w:rPr>
        <w:t>3</w:t>
      </w:r>
      <w:r w:rsidR="00A567D6">
        <w:rPr>
          <w:rFonts w:cs="Arial"/>
        </w:rPr>
        <w:t>.1</w:t>
      </w:r>
      <w:r w:rsidR="000317EE">
        <w:rPr>
          <w:rFonts w:cs="Arial"/>
        </w:rPr>
        <w:t>5</w:t>
      </w:r>
      <w:r w:rsidR="00A567D6">
        <w:rPr>
          <w:rFonts w:cs="Arial"/>
        </w:rPr>
        <w:tab/>
      </w:r>
      <w:r w:rsidR="00267EBE" w:rsidRPr="00267EBE">
        <w:rPr>
          <w:rFonts w:cs="Arial"/>
        </w:rPr>
        <w:t xml:space="preserve">The gender split is reflective of other local authorities. The Scottish Government statistics report that at </w:t>
      </w:r>
      <w:r w:rsidR="00267EBE" w:rsidRPr="00561D00">
        <w:rPr>
          <w:rFonts w:cs="Arial"/>
        </w:rPr>
        <w:t>mid-2017, 72</w:t>
      </w:r>
      <w:r w:rsidR="00394F96" w:rsidRPr="00561D00">
        <w:rPr>
          <w:rFonts w:cs="Arial"/>
        </w:rPr>
        <w:t xml:space="preserve"> </w:t>
      </w:r>
      <w:r w:rsidR="00267EBE" w:rsidRPr="00561D00">
        <w:rPr>
          <w:rFonts w:cs="Arial"/>
        </w:rPr>
        <w:t>% of staff working for Local Authorities were Women. The 2011 census</w:t>
      </w:r>
      <w:r w:rsidR="00267EBE" w:rsidRPr="00267EBE">
        <w:rPr>
          <w:rFonts w:cs="Arial"/>
        </w:rPr>
        <w:t xml:space="preserve"> showed almost five times more women were part-time employees compared with men (Scottish Government Survey Data </w:t>
      </w:r>
      <w:hyperlink r:id="rId9" w:history="1">
        <w:r w:rsidR="00267EBE" w:rsidRPr="001F770F">
          <w:rPr>
            <w:rStyle w:val="Hyperlink"/>
            <w:rFonts w:cs="Arial"/>
          </w:rPr>
          <w:t>www.gov.scot</w:t>
        </w:r>
      </w:hyperlink>
      <w:r w:rsidR="00267EBE" w:rsidRPr="00267EBE">
        <w:rPr>
          <w:rFonts w:cs="Arial"/>
        </w:rPr>
        <w:t>).</w:t>
      </w:r>
    </w:p>
    <w:p w14:paraId="27A667A7" w14:textId="77777777" w:rsidR="00267EBE" w:rsidRPr="00267EBE" w:rsidRDefault="00267EBE" w:rsidP="00A567D6">
      <w:pPr>
        <w:pStyle w:val="ELC-ParaTitle2"/>
        <w:numPr>
          <w:ilvl w:val="0"/>
          <w:numId w:val="0"/>
        </w:numPr>
        <w:tabs>
          <w:tab w:val="clear" w:pos="680"/>
        </w:tabs>
        <w:ind w:left="709"/>
        <w:jc w:val="both"/>
        <w:rPr>
          <w:rFonts w:cs="Arial"/>
          <w:b/>
        </w:rPr>
      </w:pPr>
      <w:r w:rsidRPr="00267EBE">
        <w:rPr>
          <w:rFonts w:cs="Arial"/>
          <w:b/>
        </w:rPr>
        <w:t>Mean Gender Pay Gap</w:t>
      </w:r>
    </w:p>
    <w:p w14:paraId="35E33A46" w14:textId="37EF4490" w:rsidR="00267EBE" w:rsidRDefault="00F1593E" w:rsidP="00A567D6">
      <w:pPr>
        <w:pStyle w:val="ELC-ParaTitle2"/>
        <w:numPr>
          <w:ilvl w:val="0"/>
          <w:numId w:val="0"/>
        </w:numPr>
        <w:tabs>
          <w:tab w:val="clear" w:pos="680"/>
        </w:tabs>
        <w:ind w:left="709" w:hanging="709"/>
        <w:jc w:val="both"/>
        <w:rPr>
          <w:rFonts w:cs="Arial"/>
        </w:rPr>
      </w:pPr>
      <w:r>
        <w:rPr>
          <w:rFonts w:cs="Arial"/>
        </w:rPr>
        <w:t>3</w:t>
      </w:r>
      <w:r w:rsidR="00A567D6">
        <w:rPr>
          <w:rFonts w:cs="Arial"/>
        </w:rPr>
        <w:t>.1</w:t>
      </w:r>
      <w:r w:rsidR="000317EE">
        <w:rPr>
          <w:rFonts w:cs="Arial"/>
        </w:rPr>
        <w:t>6</w:t>
      </w:r>
      <w:r w:rsidR="00A567D6">
        <w:rPr>
          <w:rFonts w:cs="Arial"/>
        </w:rPr>
        <w:tab/>
      </w:r>
      <w:r w:rsidR="00267EBE" w:rsidRPr="00267EBE">
        <w:rPr>
          <w:rFonts w:cs="Arial"/>
        </w:rPr>
        <w:t xml:space="preserve">The mean of a group of values is the sum of all values added together and then divided by the number of values in the dataset. The mean hourly rate is the average hourly rate across the entire organisation. The mean gender pay gap represents the </w:t>
      </w:r>
      <w:r w:rsidR="00AC04D1">
        <w:rPr>
          <w:rFonts w:cs="Arial"/>
        </w:rPr>
        <w:t xml:space="preserve">pay </w:t>
      </w:r>
      <w:r w:rsidR="00267EBE" w:rsidRPr="00267EBE">
        <w:rPr>
          <w:rFonts w:cs="Arial"/>
        </w:rPr>
        <w:t>gap across the entire organisation between men’s mean hourly wage and women’s hourly wage.</w:t>
      </w:r>
    </w:p>
    <w:tbl>
      <w:tblPr>
        <w:tblpPr w:leftFromText="180" w:rightFromText="180" w:vertAnchor="text" w:horzAnchor="margin" w:tblpXSpec="center" w:tblpY="407"/>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698"/>
        <w:gridCol w:w="2918"/>
      </w:tblGrid>
      <w:tr w:rsidR="00D921E6" w:rsidRPr="00F928B0" w14:paraId="792C44B0" w14:textId="77777777" w:rsidTr="00D921E6">
        <w:trPr>
          <w:trHeight w:val="282"/>
        </w:trPr>
        <w:tc>
          <w:tcPr>
            <w:tcW w:w="5102" w:type="dxa"/>
            <w:gridSpan w:val="2"/>
            <w:shd w:val="clear" w:color="auto" w:fill="D9D9D9" w:themeFill="background1" w:themeFillShade="D9"/>
            <w:vAlign w:val="center"/>
          </w:tcPr>
          <w:p w14:paraId="738872E4" w14:textId="77777777" w:rsidR="00D921E6" w:rsidRPr="00E8614F" w:rsidRDefault="00D921E6" w:rsidP="00D921E6">
            <w:pPr>
              <w:ind w:left="709" w:hanging="709"/>
              <w:rPr>
                <w:rFonts w:cs="Arial"/>
                <w:b/>
              </w:rPr>
            </w:pPr>
            <w:r w:rsidRPr="00E8614F">
              <w:rPr>
                <w:rFonts w:cs="Arial"/>
                <w:b/>
              </w:rPr>
              <w:t>Mean Average Hourly Rate</w:t>
            </w:r>
          </w:p>
        </w:tc>
        <w:tc>
          <w:tcPr>
            <w:tcW w:w="2918" w:type="dxa"/>
            <w:vMerge w:val="restart"/>
            <w:shd w:val="clear" w:color="auto" w:fill="D9D9D9" w:themeFill="background1" w:themeFillShade="D9"/>
            <w:vAlign w:val="center"/>
          </w:tcPr>
          <w:p w14:paraId="54AC830C" w14:textId="77777777" w:rsidR="00D921E6" w:rsidRPr="00E8614F" w:rsidRDefault="00D921E6" w:rsidP="00D921E6">
            <w:pPr>
              <w:ind w:left="25"/>
              <w:rPr>
                <w:rFonts w:cs="Arial"/>
                <w:b/>
              </w:rPr>
            </w:pPr>
            <w:r w:rsidRPr="00E8614F">
              <w:rPr>
                <w:rFonts w:cs="Arial"/>
                <w:b/>
              </w:rPr>
              <w:t>Mean Average Pay Gap between Female and Male Employees</w:t>
            </w:r>
          </w:p>
        </w:tc>
      </w:tr>
      <w:tr w:rsidR="00D921E6" w:rsidRPr="00F928B0" w14:paraId="5552BF04" w14:textId="77777777" w:rsidTr="00D921E6">
        <w:trPr>
          <w:trHeight w:val="564"/>
        </w:trPr>
        <w:tc>
          <w:tcPr>
            <w:tcW w:w="2404" w:type="dxa"/>
            <w:shd w:val="clear" w:color="auto" w:fill="auto"/>
            <w:vAlign w:val="center"/>
          </w:tcPr>
          <w:p w14:paraId="32541245" w14:textId="77777777" w:rsidR="00D921E6" w:rsidRPr="00E8614F" w:rsidRDefault="00D921E6" w:rsidP="00D921E6">
            <w:pPr>
              <w:ind w:left="709" w:hanging="709"/>
              <w:rPr>
                <w:rFonts w:cs="Arial"/>
                <w:b/>
              </w:rPr>
            </w:pPr>
            <w:r w:rsidRPr="00E8614F">
              <w:rPr>
                <w:rFonts w:cs="Arial"/>
                <w:b/>
              </w:rPr>
              <w:t>Female Employees</w:t>
            </w:r>
          </w:p>
        </w:tc>
        <w:tc>
          <w:tcPr>
            <w:tcW w:w="2698" w:type="dxa"/>
            <w:shd w:val="clear" w:color="auto" w:fill="auto"/>
            <w:vAlign w:val="center"/>
          </w:tcPr>
          <w:p w14:paraId="5E4D9E22" w14:textId="77777777" w:rsidR="00D921E6" w:rsidRPr="00E8614F" w:rsidRDefault="00D921E6" w:rsidP="00D921E6">
            <w:pPr>
              <w:ind w:left="709" w:hanging="709"/>
              <w:rPr>
                <w:rFonts w:cs="Arial"/>
                <w:b/>
              </w:rPr>
            </w:pPr>
            <w:r w:rsidRPr="00E8614F">
              <w:rPr>
                <w:rFonts w:cs="Arial"/>
                <w:b/>
              </w:rPr>
              <w:t>Male Employees</w:t>
            </w:r>
          </w:p>
        </w:tc>
        <w:tc>
          <w:tcPr>
            <w:tcW w:w="2918" w:type="dxa"/>
            <w:vMerge/>
            <w:shd w:val="clear" w:color="auto" w:fill="auto"/>
            <w:vAlign w:val="center"/>
          </w:tcPr>
          <w:p w14:paraId="62B8599D" w14:textId="77777777" w:rsidR="00D921E6" w:rsidRPr="00E8614F" w:rsidRDefault="00D921E6" w:rsidP="00D921E6">
            <w:pPr>
              <w:ind w:left="709" w:hanging="709"/>
              <w:rPr>
                <w:rFonts w:cs="Arial"/>
                <w:b/>
              </w:rPr>
            </w:pPr>
          </w:p>
        </w:tc>
      </w:tr>
      <w:tr w:rsidR="00D921E6" w:rsidRPr="00F928B0" w14:paraId="64AE8D97" w14:textId="77777777" w:rsidTr="00D921E6">
        <w:trPr>
          <w:trHeight w:val="282"/>
        </w:trPr>
        <w:tc>
          <w:tcPr>
            <w:tcW w:w="2404" w:type="dxa"/>
            <w:shd w:val="clear" w:color="auto" w:fill="auto"/>
            <w:vAlign w:val="center"/>
          </w:tcPr>
          <w:p w14:paraId="6276D444" w14:textId="54EC8944" w:rsidR="00D921E6" w:rsidRPr="00E8614F" w:rsidRDefault="00D921E6" w:rsidP="00D921E6">
            <w:pPr>
              <w:ind w:left="709" w:hanging="709"/>
              <w:rPr>
                <w:rFonts w:cs="Arial"/>
              </w:rPr>
            </w:pPr>
            <w:r w:rsidRPr="008871A9">
              <w:rPr>
                <w:rFonts w:cs="Arial"/>
              </w:rPr>
              <w:t>£</w:t>
            </w:r>
            <w:r w:rsidR="00F52449" w:rsidRPr="008871A9">
              <w:rPr>
                <w:rFonts w:cs="Arial"/>
              </w:rPr>
              <w:t>20</w:t>
            </w:r>
            <w:r w:rsidRPr="008871A9">
              <w:rPr>
                <w:rFonts w:cs="Arial"/>
              </w:rPr>
              <w:t>.</w:t>
            </w:r>
            <w:r w:rsidR="00F52449" w:rsidRPr="008871A9">
              <w:rPr>
                <w:rFonts w:cs="Arial"/>
              </w:rPr>
              <w:t>58</w:t>
            </w:r>
          </w:p>
        </w:tc>
        <w:tc>
          <w:tcPr>
            <w:tcW w:w="2698" w:type="dxa"/>
            <w:shd w:val="clear" w:color="auto" w:fill="auto"/>
            <w:vAlign w:val="center"/>
          </w:tcPr>
          <w:p w14:paraId="03BA306A" w14:textId="60741BCC" w:rsidR="00D921E6" w:rsidRPr="00E8614F" w:rsidRDefault="00D921E6" w:rsidP="00D921E6">
            <w:pPr>
              <w:ind w:left="709" w:hanging="709"/>
              <w:rPr>
                <w:rFonts w:cs="Arial"/>
              </w:rPr>
            </w:pPr>
            <w:r w:rsidRPr="008871A9">
              <w:rPr>
                <w:rFonts w:cs="Arial"/>
              </w:rPr>
              <w:t>£</w:t>
            </w:r>
            <w:r w:rsidR="00C1094A" w:rsidRPr="008871A9">
              <w:rPr>
                <w:rFonts w:cs="Arial"/>
              </w:rPr>
              <w:t>20</w:t>
            </w:r>
            <w:r w:rsidRPr="008871A9">
              <w:rPr>
                <w:rFonts w:cs="Arial"/>
              </w:rPr>
              <w:t>.</w:t>
            </w:r>
            <w:r w:rsidR="00C3686A" w:rsidRPr="008871A9">
              <w:rPr>
                <w:rFonts w:cs="Arial"/>
              </w:rPr>
              <w:t>69</w:t>
            </w:r>
          </w:p>
        </w:tc>
        <w:tc>
          <w:tcPr>
            <w:tcW w:w="2918" w:type="dxa"/>
            <w:shd w:val="clear" w:color="auto" w:fill="auto"/>
            <w:vAlign w:val="center"/>
          </w:tcPr>
          <w:p w14:paraId="18E001B7" w14:textId="0504E00E" w:rsidR="00D921E6" w:rsidRPr="00E8614F" w:rsidRDefault="00EB548A" w:rsidP="00D921E6">
            <w:pPr>
              <w:ind w:left="709" w:hanging="709"/>
              <w:rPr>
                <w:rFonts w:cs="Arial"/>
              </w:rPr>
            </w:pPr>
            <w:r w:rsidRPr="008871A9">
              <w:rPr>
                <w:rFonts w:cs="Arial"/>
              </w:rPr>
              <w:t>0.51</w:t>
            </w:r>
            <w:r w:rsidR="00D921E6" w:rsidRPr="008871A9">
              <w:rPr>
                <w:rFonts w:cs="Arial"/>
              </w:rPr>
              <w:t xml:space="preserve"> %</w:t>
            </w:r>
          </w:p>
        </w:tc>
      </w:tr>
    </w:tbl>
    <w:p w14:paraId="693F69A4" w14:textId="5FD939C0" w:rsidR="00DC2517" w:rsidRDefault="00F1593E" w:rsidP="00A567D6">
      <w:pPr>
        <w:pStyle w:val="ELC-ParaTitle2"/>
        <w:numPr>
          <w:ilvl w:val="0"/>
          <w:numId w:val="0"/>
        </w:numPr>
        <w:tabs>
          <w:tab w:val="clear" w:pos="680"/>
        </w:tabs>
        <w:ind w:left="420" w:hanging="420"/>
        <w:jc w:val="both"/>
      </w:pPr>
      <w:r>
        <w:t>3</w:t>
      </w:r>
      <w:r w:rsidR="00A567D6">
        <w:t>.1</w:t>
      </w:r>
      <w:r w:rsidR="000317EE">
        <w:t>7</w:t>
      </w:r>
      <w:r w:rsidR="00A567D6">
        <w:tab/>
      </w:r>
      <w:r w:rsidR="00F609D8" w:rsidRPr="00F609D8">
        <w:t>The mean average pay f</w:t>
      </w:r>
      <w:r w:rsidR="00604236">
        <w:t xml:space="preserve">or East Lothian Council </w:t>
      </w:r>
      <w:r w:rsidR="00541072">
        <w:t>was</w:t>
      </w:r>
      <w:r w:rsidR="00604236">
        <w:t xml:space="preserve"> </w:t>
      </w:r>
      <w:r w:rsidR="00541072" w:rsidRPr="008871A9">
        <w:t>£</w:t>
      </w:r>
      <w:r w:rsidR="00D43AC2" w:rsidRPr="008871A9">
        <w:t>20</w:t>
      </w:r>
      <w:r w:rsidR="00541072" w:rsidRPr="008871A9">
        <w:t>.</w:t>
      </w:r>
      <w:r w:rsidR="00D43AC2" w:rsidRPr="008871A9">
        <w:t>61</w:t>
      </w:r>
      <w:r w:rsidR="00541072" w:rsidRPr="008871A9">
        <w:t>.</w:t>
      </w:r>
    </w:p>
    <w:p w14:paraId="59F05DF7" w14:textId="77777777" w:rsidR="00D921E6" w:rsidRDefault="00D921E6" w:rsidP="00541072">
      <w:pPr>
        <w:pStyle w:val="ELC-ParaTitle2"/>
        <w:numPr>
          <w:ilvl w:val="0"/>
          <w:numId w:val="0"/>
        </w:numPr>
        <w:tabs>
          <w:tab w:val="clear" w:pos="680"/>
        </w:tabs>
        <w:ind w:left="709"/>
        <w:jc w:val="both"/>
        <w:rPr>
          <w:rFonts w:cs="Arial"/>
        </w:rPr>
      </w:pPr>
    </w:p>
    <w:p w14:paraId="393412EB" w14:textId="12ABBA77" w:rsidR="00E8614F" w:rsidRPr="00541072" w:rsidRDefault="00DC2517" w:rsidP="00541072">
      <w:pPr>
        <w:pStyle w:val="ELC-ParaTitle2"/>
        <w:numPr>
          <w:ilvl w:val="0"/>
          <w:numId w:val="0"/>
        </w:numPr>
        <w:tabs>
          <w:tab w:val="clear" w:pos="680"/>
        </w:tabs>
        <w:ind w:left="709"/>
        <w:jc w:val="both"/>
        <w:rPr>
          <w:rFonts w:cs="Arial"/>
        </w:rPr>
      </w:pPr>
      <w:r w:rsidRPr="00541072">
        <w:rPr>
          <w:rFonts w:cs="Arial"/>
        </w:rPr>
        <w:t xml:space="preserve">The </w:t>
      </w:r>
      <w:r w:rsidR="00993EB6" w:rsidRPr="00541072">
        <w:rPr>
          <w:rFonts w:cs="Arial"/>
        </w:rPr>
        <w:t>mean average gender pay gap</w:t>
      </w:r>
      <w:r w:rsidR="00541072" w:rsidRPr="00541072">
        <w:rPr>
          <w:rFonts w:cs="Arial"/>
        </w:rPr>
        <w:t xml:space="preserve"> was </w:t>
      </w:r>
      <w:r w:rsidR="000E623A" w:rsidRPr="008871A9">
        <w:rPr>
          <w:rFonts w:cs="Arial"/>
        </w:rPr>
        <w:t>0.51</w:t>
      </w:r>
      <w:r w:rsidR="00541072" w:rsidRPr="008871A9">
        <w:rPr>
          <w:rFonts w:cs="Arial"/>
        </w:rPr>
        <w:t xml:space="preserve"> %</w:t>
      </w:r>
      <w:r w:rsidR="00F609D8" w:rsidRPr="008871A9">
        <w:rPr>
          <w:rFonts w:cs="Arial"/>
        </w:rPr>
        <w:t>.</w:t>
      </w:r>
      <w:r w:rsidR="00F609D8" w:rsidRPr="00541072">
        <w:rPr>
          <w:rFonts w:cs="Arial"/>
        </w:rPr>
        <w:t xml:space="preserve"> For every £1 a male employee earns, on avera</w:t>
      </w:r>
      <w:r w:rsidR="00604236" w:rsidRPr="00541072">
        <w:rPr>
          <w:rFonts w:cs="Arial"/>
        </w:rPr>
        <w:t>ge a female employee earns</w:t>
      </w:r>
      <w:r w:rsidR="00541072" w:rsidRPr="00541072">
        <w:rPr>
          <w:rFonts w:cs="Arial"/>
        </w:rPr>
        <w:t xml:space="preserve"> </w:t>
      </w:r>
      <w:proofErr w:type="gramStart"/>
      <w:r w:rsidR="00F411D7" w:rsidRPr="008871A9">
        <w:rPr>
          <w:rFonts w:cs="Arial"/>
        </w:rPr>
        <w:t>0.99</w:t>
      </w:r>
      <w:r w:rsidR="00541072" w:rsidRPr="008871A9">
        <w:rPr>
          <w:rFonts w:cs="Arial"/>
        </w:rPr>
        <w:t>p</w:t>
      </w:r>
      <w:r w:rsidR="00541072" w:rsidRPr="00541072">
        <w:rPr>
          <w:rFonts w:cs="Arial"/>
        </w:rPr>
        <w:t xml:space="preserve">  (</w:t>
      </w:r>
      <w:proofErr w:type="gramEnd"/>
      <w:r w:rsidR="00541072" w:rsidRPr="00541072">
        <w:rPr>
          <w:rFonts w:cs="Arial"/>
        </w:rPr>
        <w:t>rounded to the nearest penny)</w:t>
      </w:r>
      <w:r w:rsidRPr="00541072">
        <w:rPr>
          <w:rFonts w:cs="Arial"/>
        </w:rPr>
        <w:t>.</w:t>
      </w:r>
    </w:p>
    <w:p w14:paraId="1DC696CB" w14:textId="77777777" w:rsidR="00E8614F" w:rsidRPr="00E8614F" w:rsidRDefault="00E8614F" w:rsidP="00E8614F">
      <w:pPr>
        <w:pStyle w:val="ELC-ParaTitle2"/>
        <w:numPr>
          <w:ilvl w:val="0"/>
          <w:numId w:val="0"/>
        </w:numPr>
        <w:tabs>
          <w:tab w:val="clear" w:pos="680"/>
        </w:tabs>
        <w:ind w:left="709"/>
        <w:jc w:val="both"/>
      </w:pPr>
    </w:p>
    <w:p w14:paraId="66939FEB" w14:textId="77777777" w:rsidR="00F609D8" w:rsidRPr="00F609D8" w:rsidRDefault="00F609D8" w:rsidP="00E8614F">
      <w:pPr>
        <w:pStyle w:val="ELC-ParaTitle2"/>
        <w:numPr>
          <w:ilvl w:val="0"/>
          <w:numId w:val="0"/>
        </w:numPr>
        <w:tabs>
          <w:tab w:val="clear" w:pos="680"/>
        </w:tabs>
        <w:ind w:left="709"/>
        <w:jc w:val="both"/>
        <w:rPr>
          <w:rFonts w:cs="Arial"/>
          <w:b/>
        </w:rPr>
      </w:pPr>
      <w:r w:rsidRPr="00F609D8">
        <w:rPr>
          <w:rFonts w:cs="Arial"/>
          <w:b/>
        </w:rPr>
        <w:t>Median Gender Pay Gap</w:t>
      </w:r>
    </w:p>
    <w:p w14:paraId="486AE0B9" w14:textId="51FFCE2D" w:rsidR="00F609D8" w:rsidRDefault="00F1593E" w:rsidP="00E8614F">
      <w:pPr>
        <w:pStyle w:val="ELC-ParaTitle2"/>
        <w:numPr>
          <w:ilvl w:val="0"/>
          <w:numId w:val="0"/>
        </w:numPr>
        <w:tabs>
          <w:tab w:val="clear" w:pos="680"/>
        </w:tabs>
        <w:ind w:left="709" w:hanging="709"/>
        <w:jc w:val="both"/>
        <w:rPr>
          <w:rFonts w:cs="Arial"/>
        </w:rPr>
      </w:pPr>
      <w:r>
        <w:rPr>
          <w:rFonts w:cs="Arial"/>
        </w:rPr>
        <w:t>3</w:t>
      </w:r>
      <w:r w:rsidR="00E8614F">
        <w:rPr>
          <w:rFonts w:cs="Arial"/>
        </w:rPr>
        <w:t>.1</w:t>
      </w:r>
      <w:r w:rsidR="000317EE">
        <w:rPr>
          <w:rFonts w:cs="Arial"/>
        </w:rPr>
        <w:t>8</w:t>
      </w:r>
      <w:r w:rsidR="00E8614F">
        <w:rPr>
          <w:rFonts w:cs="Arial"/>
        </w:rPr>
        <w:tab/>
      </w:r>
      <w:r w:rsidR="00F609D8" w:rsidRPr="00F609D8">
        <w:rPr>
          <w:rFonts w:cs="Arial"/>
        </w:rPr>
        <w:t xml:space="preserve">The median hourly rate is calculated by ranking all employees by gender from the highest paid to the lowest </w:t>
      </w:r>
      <w:r w:rsidR="00021D66" w:rsidRPr="00F609D8">
        <w:rPr>
          <w:rFonts w:cs="Arial"/>
        </w:rPr>
        <w:t>paid and</w:t>
      </w:r>
      <w:r w:rsidR="00F609D8" w:rsidRPr="00F609D8">
        <w:rPr>
          <w:rFonts w:cs="Arial"/>
        </w:rPr>
        <w:t xml:space="preserve"> taking the hourly wage of the person in the middle; the median gender pay gap is the difference between the median hourly wage of female employees and the median hourly wage of male employees.</w:t>
      </w:r>
    </w:p>
    <w:p w14:paraId="473BF7B1" w14:textId="4B6899D0" w:rsidR="00800122" w:rsidRPr="00800122" w:rsidRDefault="00F1593E" w:rsidP="00E8614F">
      <w:pPr>
        <w:pStyle w:val="ELC-ParaTitle2"/>
        <w:numPr>
          <w:ilvl w:val="0"/>
          <w:numId w:val="0"/>
        </w:numPr>
        <w:tabs>
          <w:tab w:val="clear" w:pos="680"/>
        </w:tabs>
        <w:ind w:left="420" w:hanging="420"/>
        <w:jc w:val="both"/>
        <w:rPr>
          <w:rFonts w:cs="Arial"/>
        </w:rPr>
      </w:pPr>
      <w:r>
        <w:rPr>
          <w:rFonts w:cs="Arial"/>
        </w:rPr>
        <w:t>3</w:t>
      </w:r>
      <w:r w:rsidR="00E8614F">
        <w:rPr>
          <w:rFonts w:cs="Arial"/>
        </w:rPr>
        <w:t>.</w:t>
      </w:r>
      <w:r w:rsidR="000317EE">
        <w:rPr>
          <w:rFonts w:cs="Arial"/>
        </w:rPr>
        <w:t>19</w:t>
      </w:r>
      <w:r w:rsidR="00E8614F">
        <w:rPr>
          <w:rFonts w:cs="Arial"/>
        </w:rPr>
        <w:tab/>
      </w:r>
      <w:r w:rsidR="00800122">
        <w:rPr>
          <w:rFonts w:cs="Arial"/>
        </w:rPr>
        <w:t xml:space="preserve">The median </w:t>
      </w:r>
      <w:r w:rsidR="00800122" w:rsidRPr="00800122">
        <w:rPr>
          <w:rFonts w:cs="Arial"/>
        </w:rPr>
        <w:t xml:space="preserve">average pay for East Lothian Council </w:t>
      </w:r>
      <w:r w:rsidR="00021D66">
        <w:rPr>
          <w:rFonts w:cs="Arial"/>
        </w:rPr>
        <w:t>was</w:t>
      </w:r>
      <w:r w:rsidR="00800122" w:rsidRPr="00800122">
        <w:rPr>
          <w:rFonts w:cs="Arial"/>
        </w:rPr>
        <w:t xml:space="preserve"> </w:t>
      </w:r>
      <w:r w:rsidR="00AE0CA5" w:rsidRPr="008871A9">
        <w:rPr>
          <w:rFonts w:cs="Arial"/>
        </w:rPr>
        <w:t>£1</w:t>
      </w:r>
      <w:r w:rsidR="00A811DC" w:rsidRPr="008871A9">
        <w:rPr>
          <w:rFonts w:cs="Arial"/>
        </w:rPr>
        <w:t>8.03</w:t>
      </w:r>
      <w:r w:rsidR="00AE0CA5" w:rsidRPr="008871A9">
        <w:rPr>
          <w:rFonts w:cs="Arial"/>
        </w:rPr>
        <w:t>.</w:t>
      </w:r>
    </w:p>
    <w:p w14:paraId="629A1D03" w14:textId="0DEB0E51" w:rsidR="00F609D8" w:rsidRDefault="00F609D8" w:rsidP="00E8614F">
      <w:pPr>
        <w:pStyle w:val="ELC-ParaTitle2"/>
        <w:numPr>
          <w:ilvl w:val="0"/>
          <w:numId w:val="0"/>
        </w:numPr>
        <w:tabs>
          <w:tab w:val="clear" w:pos="680"/>
        </w:tabs>
        <w:ind w:left="709"/>
        <w:jc w:val="both"/>
        <w:rPr>
          <w:rFonts w:cs="Arial"/>
        </w:rPr>
      </w:pPr>
      <w:r w:rsidRPr="00021D66">
        <w:rPr>
          <w:rFonts w:cs="Arial"/>
        </w:rPr>
        <w:t xml:space="preserve">The median average gender pay gap </w:t>
      </w:r>
      <w:r w:rsidR="00021D66">
        <w:rPr>
          <w:rFonts w:cs="Arial"/>
        </w:rPr>
        <w:t>was</w:t>
      </w:r>
      <w:r w:rsidR="00800122" w:rsidRPr="00021D66">
        <w:rPr>
          <w:rFonts w:cs="Arial"/>
        </w:rPr>
        <w:t xml:space="preserve"> </w:t>
      </w:r>
      <w:r w:rsidR="00021D66" w:rsidRPr="008871A9">
        <w:rPr>
          <w:rFonts w:cs="Arial"/>
        </w:rPr>
        <w:t>4.</w:t>
      </w:r>
      <w:r w:rsidR="00D9375B" w:rsidRPr="008871A9">
        <w:rPr>
          <w:rFonts w:cs="Arial"/>
        </w:rPr>
        <w:t>36</w:t>
      </w:r>
      <w:r w:rsidR="00021D66" w:rsidRPr="008871A9">
        <w:rPr>
          <w:rFonts w:cs="Arial"/>
        </w:rPr>
        <w:t xml:space="preserve"> %.</w:t>
      </w:r>
      <w:r w:rsidR="00021D66">
        <w:rPr>
          <w:rFonts w:cs="Arial"/>
        </w:rPr>
        <w:t xml:space="preserve"> </w:t>
      </w:r>
      <w:r w:rsidRPr="00021D66">
        <w:rPr>
          <w:rFonts w:cs="Arial"/>
        </w:rPr>
        <w:t>For every £1 a male employee ear</w:t>
      </w:r>
      <w:r w:rsidR="00604236" w:rsidRPr="00021D66">
        <w:rPr>
          <w:rFonts w:cs="Arial"/>
        </w:rPr>
        <w:t xml:space="preserve">ns; a female </w:t>
      </w:r>
      <w:r w:rsidR="00993EB6" w:rsidRPr="00021D66">
        <w:rPr>
          <w:rFonts w:cs="Arial"/>
        </w:rPr>
        <w:t xml:space="preserve">employee earns </w:t>
      </w:r>
      <w:r w:rsidR="00021D66" w:rsidRPr="008871A9">
        <w:rPr>
          <w:rFonts w:cs="Arial"/>
        </w:rPr>
        <w:t>4</w:t>
      </w:r>
      <w:r w:rsidR="00800122" w:rsidRPr="008871A9">
        <w:rPr>
          <w:rFonts w:cs="Arial"/>
        </w:rPr>
        <w:t>p</w:t>
      </w:r>
      <w:r w:rsidR="00800122" w:rsidRPr="00021D66">
        <w:rPr>
          <w:rFonts w:cs="Arial"/>
        </w:rPr>
        <w:t xml:space="preserve"> less</w:t>
      </w:r>
      <w:r w:rsidR="00021D66">
        <w:rPr>
          <w:rFonts w:cs="Arial"/>
        </w:rPr>
        <w:t xml:space="preserve"> (rounded to the nearest pen</w:t>
      </w:r>
      <w:r w:rsidR="008C3BD0">
        <w:rPr>
          <w:rFonts w:cs="Arial"/>
        </w:rPr>
        <w:t>ce</w:t>
      </w:r>
      <w:r w:rsidR="00021D66">
        <w:rPr>
          <w:rFonts w:cs="Arial"/>
        </w:rPr>
        <w:t>)</w:t>
      </w:r>
      <w:r w:rsidR="00800122" w:rsidRPr="00021D66">
        <w:rPr>
          <w:rFonts w:cs="Arial"/>
        </w:rPr>
        <w:t>.</w:t>
      </w:r>
    </w:p>
    <w:tbl>
      <w:tblPr>
        <w:tblW w:w="836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785"/>
        <w:gridCol w:w="3174"/>
      </w:tblGrid>
      <w:tr w:rsidR="003F2730" w:rsidRPr="00F928B0" w14:paraId="0983B860" w14:textId="77777777" w:rsidTr="00E8614F">
        <w:tc>
          <w:tcPr>
            <w:tcW w:w="5189" w:type="dxa"/>
            <w:gridSpan w:val="2"/>
            <w:shd w:val="clear" w:color="auto" w:fill="D9D9D9" w:themeFill="background1" w:themeFillShade="D9"/>
            <w:vAlign w:val="center"/>
          </w:tcPr>
          <w:p w14:paraId="4D57E284" w14:textId="77777777" w:rsidR="003F2730" w:rsidRPr="00E8614F" w:rsidRDefault="003F2730" w:rsidP="00E8614F">
            <w:pPr>
              <w:ind w:left="709" w:hanging="709"/>
              <w:rPr>
                <w:rFonts w:cs="Arial"/>
                <w:b/>
              </w:rPr>
            </w:pPr>
            <w:r w:rsidRPr="00E8614F">
              <w:rPr>
                <w:rFonts w:cs="Arial"/>
                <w:b/>
              </w:rPr>
              <w:t>Median Average Hourly Rate</w:t>
            </w:r>
          </w:p>
        </w:tc>
        <w:tc>
          <w:tcPr>
            <w:tcW w:w="3174" w:type="dxa"/>
            <w:vMerge w:val="restart"/>
            <w:shd w:val="clear" w:color="auto" w:fill="D9D9D9" w:themeFill="background1" w:themeFillShade="D9"/>
            <w:vAlign w:val="center"/>
          </w:tcPr>
          <w:p w14:paraId="3F99C768" w14:textId="77777777" w:rsidR="003F2730" w:rsidRPr="00E8614F" w:rsidRDefault="003F2730" w:rsidP="00E8614F">
            <w:pPr>
              <w:rPr>
                <w:rFonts w:cs="Arial"/>
                <w:b/>
              </w:rPr>
            </w:pPr>
            <w:r w:rsidRPr="00E8614F">
              <w:rPr>
                <w:rFonts w:cs="Arial"/>
                <w:b/>
              </w:rPr>
              <w:t xml:space="preserve">Median Average Pay Gap between </w:t>
            </w:r>
            <w:r w:rsidR="003A3BAC" w:rsidRPr="00E8614F">
              <w:rPr>
                <w:rFonts w:cs="Arial"/>
                <w:b/>
              </w:rPr>
              <w:t>Female and M</w:t>
            </w:r>
            <w:r w:rsidRPr="00E8614F">
              <w:rPr>
                <w:rFonts w:cs="Arial"/>
                <w:b/>
              </w:rPr>
              <w:t>ale Employees</w:t>
            </w:r>
          </w:p>
        </w:tc>
      </w:tr>
      <w:tr w:rsidR="003F2730" w:rsidRPr="00F928B0" w14:paraId="297C6697" w14:textId="77777777" w:rsidTr="00E8614F">
        <w:tc>
          <w:tcPr>
            <w:tcW w:w="2404" w:type="dxa"/>
            <w:shd w:val="clear" w:color="auto" w:fill="auto"/>
            <w:vAlign w:val="center"/>
          </w:tcPr>
          <w:p w14:paraId="1D44FB51" w14:textId="77777777" w:rsidR="003F2730" w:rsidRPr="00E8614F" w:rsidRDefault="003F2730" w:rsidP="00E8614F">
            <w:pPr>
              <w:ind w:left="709" w:hanging="709"/>
              <w:rPr>
                <w:rFonts w:cs="Arial"/>
                <w:b/>
              </w:rPr>
            </w:pPr>
            <w:r w:rsidRPr="00E8614F">
              <w:rPr>
                <w:rFonts w:cs="Arial"/>
                <w:b/>
              </w:rPr>
              <w:t>Female Employees</w:t>
            </w:r>
          </w:p>
        </w:tc>
        <w:tc>
          <w:tcPr>
            <w:tcW w:w="2785" w:type="dxa"/>
            <w:shd w:val="clear" w:color="auto" w:fill="auto"/>
            <w:vAlign w:val="center"/>
          </w:tcPr>
          <w:p w14:paraId="7A6A0DFE" w14:textId="77777777" w:rsidR="003F2730" w:rsidRPr="00E8614F" w:rsidRDefault="003F2730" w:rsidP="00E8614F">
            <w:pPr>
              <w:ind w:left="709" w:hanging="709"/>
              <w:rPr>
                <w:rFonts w:cs="Arial"/>
                <w:b/>
              </w:rPr>
            </w:pPr>
            <w:r w:rsidRPr="00E8614F">
              <w:rPr>
                <w:rFonts w:cs="Arial"/>
                <w:b/>
              </w:rPr>
              <w:t>Male Employees</w:t>
            </w:r>
          </w:p>
        </w:tc>
        <w:tc>
          <w:tcPr>
            <w:tcW w:w="3174" w:type="dxa"/>
            <w:vMerge/>
            <w:shd w:val="clear" w:color="auto" w:fill="auto"/>
            <w:vAlign w:val="center"/>
          </w:tcPr>
          <w:p w14:paraId="51A7B29F" w14:textId="77777777" w:rsidR="003F2730" w:rsidRPr="00E8614F" w:rsidRDefault="003F2730" w:rsidP="00E8614F">
            <w:pPr>
              <w:ind w:left="709" w:hanging="709"/>
              <w:rPr>
                <w:rFonts w:cs="Arial"/>
                <w:b/>
              </w:rPr>
            </w:pPr>
          </w:p>
        </w:tc>
      </w:tr>
      <w:tr w:rsidR="00F609D8" w:rsidRPr="00F928B0" w14:paraId="63FF0B39" w14:textId="77777777" w:rsidTr="00E8614F">
        <w:tc>
          <w:tcPr>
            <w:tcW w:w="2404" w:type="dxa"/>
            <w:shd w:val="clear" w:color="auto" w:fill="auto"/>
            <w:vAlign w:val="center"/>
          </w:tcPr>
          <w:p w14:paraId="247866C1" w14:textId="74171D32" w:rsidR="00F609D8" w:rsidRPr="00E8614F" w:rsidRDefault="00021D66" w:rsidP="00E8614F">
            <w:pPr>
              <w:ind w:left="709" w:hanging="709"/>
              <w:rPr>
                <w:rFonts w:cs="Arial"/>
              </w:rPr>
            </w:pPr>
            <w:r w:rsidRPr="008871A9">
              <w:rPr>
                <w:rFonts w:cs="Arial"/>
              </w:rPr>
              <w:t>£1</w:t>
            </w:r>
            <w:r w:rsidR="00F228A7" w:rsidRPr="008871A9">
              <w:rPr>
                <w:rFonts w:cs="Arial"/>
              </w:rPr>
              <w:t>7</w:t>
            </w:r>
            <w:r w:rsidRPr="008871A9">
              <w:rPr>
                <w:rFonts w:cs="Arial"/>
              </w:rPr>
              <w:t>.</w:t>
            </w:r>
            <w:r w:rsidR="00F228A7" w:rsidRPr="008871A9">
              <w:rPr>
                <w:rFonts w:cs="Arial"/>
              </w:rPr>
              <w:t>78</w:t>
            </w:r>
          </w:p>
        </w:tc>
        <w:tc>
          <w:tcPr>
            <w:tcW w:w="2785" w:type="dxa"/>
            <w:shd w:val="clear" w:color="auto" w:fill="auto"/>
            <w:vAlign w:val="center"/>
          </w:tcPr>
          <w:p w14:paraId="3A0AC0EC" w14:textId="4C3765DB" w:rsidR="00F609D8" w:rsidRPr="00E8614F" w:rsidRDefault="00021D66" w:rsidP="00E8614F">
            <w:pPr>
              <w:ind w:left="709" w:hanging="709"/>
              <w:rPr>
                <w:rFonts w:cs="Arial"/>
              </w:rPr>
            </w:pPr>
            <w:r w:rsidRPr="008871A9">
              <w:rPr>
                <w:rFonts w:cs="Arial"/>
              </w:rPr>
              <w:t>£1</w:t>
            </w:r>
            <w:r w:rsidR="00F228A7" w:rsidRPr="008871A9">
              <w:rPr>
                <w:rFonts w:cs="Arial"/>
              </w:rPr>
              <w:t>8</w:t>
            </w:r>
            <w:r w:rsidRPr="008871A9">
              <w:rPr>
                <w:rFonts w:cs="Arial"/>
              </w:rPr>
              <w:t>.</w:t>
            </w:r>
            <w:r w:rsidR="00F228A7" w:rsidRPr="008871A9">
              <w:rPr>
                <w:rFonts w:cs="Arial"/>
              </w:rPr>
              <w:t>59</w:t>
            </w:r>
          </w:p>
        </w:tc>
        <w:tc>
          <w:tcPr>
            <w:tcW w:w="3174" w:type="dxa"/>
            <w:shd w:val="clear" w:color="auto" w:fill="auto"/>
            <w:vAlign w:val="center"/>
          </w:tcPr>
          <w:p w14:paraId="4997EA29" w14:textId="58B93C48" w:rsidR="00F609D8" w:rsidRPr="00E8614F" w:rsidRDefault="00021D66" w:rsidP="00E8614F">
            <w:pPr>
              <w:ind w:left="709" w:hanging="709"/>
              <w:rPr>
                <w:rFonts w:cs="Arial"/>
              </w:rPr>
            </w:pPr>
            <w:r w:rsidRPr="008871A9">
              <w:rPr>
                <w:rFonts w:cs="Arial"/>
              </w:rPr>
              <w:t>4.3</w:t>
            </w:r>
            <w:r w:rsidR="00491D21" w:rsidRPr="008871A9">
              <w:rPr>
                <w:rFonts w:cs="Arial"/>
              </w:rPr>
              <w:t>6</w:t>
            </w:r>
            <w:r w:rsidRPr="008871A9">
              <w:rPr>
                <w:rFonts w:cs="Arial"/>
              </w:rPr>
              <w:t xml:space="preserve"> %</w:t>
            </w:r>
          </w:p>
        </w:tc>
      </w:tr>
    </w:tbl>
    <w:p w14:paraId="4A5E6BDD" w14:textId="77777777" w:rsidR="00F609D8" w:rsidRDefault="00F609D8" w:rsidP="00A567D6">
      <w:pPr>
        <w:pStyle w:val="ELC-ParaTitle2"/>
        <w:numPr>
          <w:ilvl w:val="0"/>
          <w:numId w:val="0"/>
        </w:numPr>
        <w:tabs>
          <w:tab w:val="clear" w:pos="680"/>
        </w:tabs>
        <w:ind w:left="709" w:hanging="709"/>
        <w:jc w:val="both"/>
        <w:rPr>
          <w:rFonts w:cs="Arial"/>
        </w:rPr>
      </w:pPr>
    </w:p>
    <w:p w14:paraId="235CD52E" w14:textId="77777777" w:rsidR="00E8614F" w:rsidRDefault="00E8614F" w:rsidP="00A567D6">
      <w:pPr>
        <w:pStyle w:val="ELC-ParaTitle2"/>
        <w:numPr>
          <w:ilvl w:val="0"/>
          <w:numId w:val="0"/>
        </w:numPr>
        <w:tabs>
          <w:tab w:val="clear" w:pos="680"/>
        </w:tabs>
        <w:ind w:left="709" w:hanging="709"/>
        <w:jc w:val="both"/>
        <w:rPr>
          <w:rFonts w:cs="Arial"/>
        </w:rPr>
      </w:pPr>
    </w:p>
    <w:p w14:paraId="3B6AFBA9" w14:textId="77777777" w:rsidR="00F609D8" w:rsidRPr="00F609D8" w:rsidRDefault="00F609D8" w:rsidP="00E8614F">
      <w:pPr>
        <w:pStyle w:val="ELC-ParaTitle2"/>
        <w:numPr>
          <w:ilvl w:val="0"/>
          <w:numId w:val="0"/>
        </w:numPr>
        <w:tabs>
          <w:tab w:val="clear" w:pos="680"/>
        </w:tabs>
        <w:ind w:left="709"/>
        <w:jc w:val="both"/>
        <w:rPr>
          <w:rFonts w:cs="Arial"/>
          <w:b/>
        </w:rPr>
      </w:pPr>
      <w:r w:rsidRPr="00F609D8">
        <w:rPr>
          <w:rFonts w:cs="Arial"/>
          <w:b/>
        </w:rPr>
        <w:t xml:space="preserve">Bonus </w:t>
      </w:r>
      <w:r w:rsidR="006F2EBB">
        <w:rPr>
          <w:rFonts w:cs="Arial"/>
          <w:b/>
        </w:rPr>
        <w:t xml:space="preserve">Pay </w:t>
      </w:r>
      <w:r w:rsidRPr="00F609D8">
        <w:rPr>
          <w:rFonts w:cs="Arial"/>
          <w:b/>
        </w:rPr>
        <w:t>Analysis</w:t>
      </w:r>
    </w:p>
    <w:p w14:paraId="124553D8" w14:textId="17E1B39C" w:rsidR="00F609D8" w:rsidRDefault="00F1593E" w:rsidP="00E8614F">
      <w:pPr>
        <w:pStyle w:val="ELC-ParaTitle2"/>
        <w:numPr>
          <w:ilvl w:val="0"/>
          <w:numId w:val="0"/>
        </w:numPr>
        <w:tabs>
          <w:tab w:val="clear" w:pos="680"/>
        </w:tabs>
        <w:spacing w:after="0"/>
        <w:ind w:left="709" w:hanging="709"/>
        <w:jc w:val="both"/>
        <w:rPr>
          <w:rFonts w:cs="Arial"/>
        </w:rPr>
      </w:pPr>
      <w:r>
        <w:rPr>
          <w:rFonts w:cs="Arial"/>
        </w:rPr>
        <w:t>3</w:t>
      </w:r>
      <w:r w:rsidR="00E8614F">
        <w:rPr>
          <w:rFonts w:cs="Arial"/>
        </w:rPr>
        <w:t>.2</w:t>
      </w:r>
      <w:r w:rsidR="000317EE">
        <w:rPr>
          <w:rFonts w:cs="Arial"/>
        </w:rPr>
        <w:t>0</w:t>
      </w:r>
      <w:r w:rsidR="00E8614F">
        <w:rPr>
          <w:rFonts w:cs="Arial"/>
        </w:rPr>
        <w:tab/>
      </w:r>
      <w:r w:rsidR="00F609D8" w:rsidRPr="00F609D8">
        <w:rPr>
          <w:rFonts w:cs="Arial"/>
        </w:rPr>
        <w:t xml:space="preserve">East Lothian Council does not pay bonus payments to any group of employees. </w:t>
      </w:r>
      <w:r w:rsidR="00021D66" w:rsidRPr="00F609D8">
        <w:rPr>
          <w:rFonts w:cs="Arial"/>
        </w:rPr>
        <w:t>Therefore,</w:t>
      </w:r>
      <w:r w:rsidR="00F609D8" w:rsidRPr="00F609D8">
        <w:rPr>
          <w:rFonts w:cs="Arial"/>
        </w:rPr>
        <w:t xml:space="preserve"> our bonus gender pay gap is 0</w:t>
      </w:r>
      <w:r w:rsidR="00394F96">
        <w:rPr>
          <w:rFonts w:cs="Arial"/>
        </w:rPr>
        <w:t xml:space="preserve"> </w:t>
      </w:r>
      <w:r w:rsidR="00F609D8" w:rsidRPr="00F609D8">
        <w:rPr>
          <w:rFonts w:cs="Arial"/>
        </w:rPr>
        <w:t>% for male employees and 0</w:t>
      </w:r>
      <w:r w:rsidR="00394F96">
        <w:rPr>
          <w:rFonts w:cs="Arial"/>
        </w:rPr>
        <w:t xml:space="preserve"> </w:t>
      </w:r>
      <w:r w:rsidR="00F609D8" w:rsidRPr="00F609D8">
        <w:rPr>
          <w:rFonts w:cs="Arial"/>
        </w:rPr>
        <w:t>% for female employees. This is following the implementation of Single Status in 2008.</w:t>
      </w:r>
    </w:p>
    <w:p w14:paraId="08AE49F5" w14:textId="77777777" w:rsidR="005D4C9F" w:rsidRDefault="005D4C9F" w:rsidP="00A567D6">
      <w:pPr>
        <w:pStyle w:val="ELC-ParaTitle2"/>
        <w:numPr>
          <w:ilvl w:val="0"/>
          <w:numId w:val="0"/>
        </w:numPr>
        <w:tabs>
          <w:tab w:val="clear" w:pos="680"/>
        </w:tabs>
        <w:ind w:left="709" w:hanging="709"/>
        <w:jc w:val="both"/>
        <w:rPr>
          <w:rFonts w:cs="Arial"/>
        </w:rPr>
      </w:pPr>
    </w:p>
    <w:p w14:paraId="2157F03B" w14:textId="77777777" w:rsidR="00F609D8" w:rsidRDefault="00F609D8" w:rsidP="00E8614F">
      <w:pPr>
        <w:pStyle w:val="ELC-ParaTitle2"/>
        <w:numPr>
          <w:ilvl w:val="0"/>
          <w:numId w:val="0"/>
        </w:numPr>
        <w:tabs>
          <w:tab w:val="clear" w:pos="680"/>
        </w:tabs>
        <w:ind w:left="709"/>
        <w:jc w:val="both"/>
        <w:rPr>
          <w:rFonts w:cs="Arial"/>
          <w:b/>
        </w:rPr>
      </w:pPr>
      <w:r w:rsidRPr="00F609D8">
        <w:rPr>
          <w:rFonts w:cs="Arial"/>
          <w:b/>
        </w:rPr>
        <w:t xml:space="preserve">Proportion of </w:t>
      </w:r>
      <w:r w:rsidR="003A3BAC">
        <w:rPr>
          <w:rFonts w:cs="Arial"/>
          <w:b/>
        </w:rPr>
        <w:t>Female Employees and Male Employees</w:t>
      </w:r>
      <w:r w:rsidRPr="00F609D8">
        <w:rPr>
          <w:rFonts w:cs="Arial"/>
          <w:b/>
        </w:rPr>
        <w:t xml:space="preserve"> by Quartile</w:t>
      </w:r>
    </w:p>
    <w:p w14:paraId="45A7D210" w14:textId="42E976CD" w:rsidR="004757C1" w:rsidRPr="003D1618" w:rsidRDefault="00F1593E" w:rsidP="002B1AB4">
      <w:pPr>
        <w:pStyle w:val="ELC-ParaTitle2"/>
        <w:numPr>
          <w:ilvl w:val="0"/>
          <w:numId w:val="0"/>
        </w:numPr>
        <w:tabs>
          <w:tab w:val="clear" w:pos="680"/>
        </w:tabs>
        <w:spacing w:after="0"/>
        <w:ind w:left="709" w:hanging="709"/>
        <w:jc w:val="both"/>
        <w:rPr>
          <w:rFonts w:cs="Arial"/>
        </w:rPr>
      </w:pPr>
      <w:r>
        <w:rPr>
          <w:rFonts w:cs="Arial"/>
        </w:rPr>
        <w:t>3</w:t>
      </w:r>
      <w:r w:rsidR="00E8614F">
        <w:rPr>
          <w:rFonts w:cs="Arial"/>
        </w:rPr>
        <w:t>.2</w:t>
      </w:r>
      <w:r w:rsidR="000317EE">
        <w:rPr>
          <w:rFonts w:cs="Arial"/>
        </w:rPr>
        <w:t>1</w:t>
      </w:r>
      <w:r w:rsidR="00E8614F">
        <w:rPr>
          <w:rFonts w:cs="Arial"/>
        </w:rPr>
        <w:tab/>
      </w:r>
      <w:r w:rsidR="00F609D8" w:rsidRPr="00F609D8">
        <w:rPr>
          <w:rFonts w:cs="Arial"/>
        </w:rPr>
        <w:t xml:space="preserve">The expectation would be that the gender breakdown in each quartile </w:t>
      </w:r>
      <w:r w:rsidR="00AA1A46">
        <w:rPr>
          <w:rFonts w:cs="Arial"/>
        </w:rPr>
        <w:t>would</w:t>
      </w:r>
      <w:r w:rsidR="00F609D8" w:rsidRPr="00F609D8">
        <w:rPr>
          <w:rFonts w:cs="Arial"/>
        </w:rPr>
        <w:t xml:space="preserve"> reflect th</w:t>
      </w:r>
      <w:r w:rsidR="00604236">
        <w:rPr>
          <w:rFonts w:cs="Arial"/>
        </w:rPr>
        <w:t xml:space="preserve">e overall gender breakdown of </w:t>
      </w:r>
      <w:r w:rsidR="00611AE2" w:rsidRPr="008871A9">
        <w:rPr>
          <w:rFonts w:cs="Arial"/>
        </w:rPr>
        <w:t>69</w:t>
      </w:r>
      <w:r w:rsidR="00AA1A46" w:rsidRPr="008871A9">
        <w:rPr>
          <w:rFonts w:cs="Arial"/>
        </w:rPr>
        <w:t>.</w:t>
      </w:r>
      <w:r w:rsidR="00611AE2" w:rsidRPr="008871A9">
        <w:rPr>
          <w:rFonts w:cs="Arial"/>
        </w:rPr>
        <w:t>7</w:t>
      </w:r>
      <w:r w:rsidR="00AA1A46" w:rsidRPr="008871A9">
        <w:rPr>
          <w:rFonts w:cs="Arial"/>
        </w:rPr>
        <w:t>5 %</w:t>
      </w:r>
      <w:r w:rsidR="003D1618">
        <w:rPr>
          <w:rFonts w:cs="Arial"/>
        </w:rPr>
        <w:t xml:space="preserve"> f</w:t>
      </w:r>
      <w:r w:rsidR="00F609D8" w:rsidRPr="00F609D8">
        <w:rPr>
          <w:rFonts w:cs="Arial"/>
        </w:rPr>
        <w:t xml:space="preserve">emale and </w:t>
      </w:r>
      <w:r w:rsidR="003C47B4" w:rsidRPr="008871A9">
        <w:rPr>
          <w:rFonts w:cs="Arial"/>
        </w:rPr>
        <w:t>2</w:t>
      </w:r>
      <w:r w:rsidR="00611AE2" w:rsidRPr="008871A9">
        <w:rPr>
          <w:rFonts w:cs="Arial"/>
        </w:rPr>
        <w:t>6</w:t>
      </w:r>
      <w:r w:rsidR="00AA1A46" w:rsidRPr="008871A9">
        <w:rPr>
          <w:rFonts w:cs="Arial"/>
        </w:rPr>
        <w:t>.</w:t>
      </w:r>
      <w:r w:rsidR="00611AE2" w:rsidRPr="008871A9">
        <w:rPr>
          <w:rFonts w:cs="Arial"/>
        </w:rPr>
        <w:t>84</w:t>
      </w:r>
      <w:r w:rsidR="00AA1A46" w:rsidRPr="008871A9">
        <w:rPr>
          <w:rFonts w:cs="Arial"/>
        </w:rPr>
        <w:t xml:space="preserve"> %</w:t>
      </w:r>
      <w:r w:rsidR="003D1618">
        <w:rPr>
          <w:rFonts w:cs="Arial"/>
        </w:rPr>
        <w:t xml:space="preserve"> male.</w:t>
      </w:r>
    </w:p>
    <w:tbl>
      <w:tblPr>
        <w:tblpPr w:leftFromText="180" w:rightFromText="180" w:vertAnchor="text" w:horzAnchor="page" w:tblpX="1901" w:tblpY="2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2551"/>
      </w:tblGrid>
      <w:tr w:rsidR="005D4C9F" w:rsidRPr="00F928B0" w14:paraId="243B9B04" w14:textId="77777777" w:rsidTr="00E8614F">
        <w:trPr>
          <w:trHeight w:val="573"/>
        </w:trPr>
        <w:tc>
          <w:tcPr>
            <w:tcW w:w="3397" w:type="dxa"/>
            <w:shd w:val="clear" w:color="auto" w:fill="D9D9D9"/>
            <w:vAlign w:val="center"/>
          </w:tcPr>
          <w:p w14:paraId="5232865B" w14:textId="77777777" w:rsidR="005D4C9F" w:rsidRPr="00E8614F" w:rsidRDefault="005D4C9F" w:rsidP="00E8614F">
            <w:pPr>
              <w:ind w:left="709" w:hanging="709"/>
              <w:jc w:val="both"/>
              <w:rPr>
                <w:rFonts w:cs="Arial"/>
                <w:b/>
              </w:rPr>
            </w:pPr>
            <w:r w:rsidRPr="00E8614F">
              <w:rPr>
                <w:rFonts w:cs="Arial"/>
                <w:b/>
              </w:rPr>
              <w:t>Quartile</w:t>
            </w:r>
          </w:p>
        </w:tc>
        <w:tc>
          <w:tcPr>
            <w:tcW w:w="2552" w:type="dxa"/>
            <w:shd w:val="clear" w:color="auto" w:fill="D9D9D9"/>
            <w:vAlign w:val="center"/>
          </w:tcPr>
          <w:p w14:paraId="77592307" w14:textId="77777777" w:rsidR="005D4C9F" w:rsidRPr="00E8614F" w:rsidRDefault="005D4C9F" w:rsidP="00E8614F">
            <w:pPr>
              <w:ind w:left="709" w:hanging="709"/>
              <w:jc w:val="both"/>
              <w:rPr>
                <w:rFonts w:cs="Arial"/>
                <w:b/>
              </w:rPr>
            </w:pPr>
            <w:r w:rsidRPr="00E8614F">
              <w:rPr>
                <w:rFonts w:cs="Arial"/>
                <w:b/>
              </w:rPr>
              <w:t>Female Employees</w:t>
            </w:r>
          </w:p>
        </w:tc>
        <w:tc>
          <w:tcPr>
            <w:tcW w:w="2551" w:type="dxa"/>
            <w:shd w:val="clear" w:color="auto" w:fill="D9D9D9"/>
            <w:vAlign w:val="center"/>
          </w:tcPr>
          <w:p w14:paraId="31A1B8CF" w14:textId="77777777" w:rsidR="005D4C9F" w:rsidRPr="00E8614F" w:rsidRDefault="005D4C9F" w:rsidP="00E8614F">
            <w:pPr>
              <w:ind w:left="709" w:hanging="709"/>
              <w:jc w:val="both"/>
              <w:rPr>
                <w:rFonts w:cs="Arial"/>
                <w:b/>
              </w:rPr>
            </w:pPr>
            <w:r w:rsidRPr="00E8614F">
              <w:rPr>
                <w:rFonts w:cs="Arial"/>
                <w:b/>
              </w:rPr>
              <w:t>Male</w:t>
            </w:r>
            <w:r w:rsidRPr="00E8614F">
              <w:t xml:space="preserve"> </w:t>
            </w:r>
            <w:r w:rsidRPr="00E8614F">
              <w:rPr>
                <w:rFonts w:cs="Arial"/>
                <w:b/>
              </w:rPr>
              <w:t>Employees</w:t>
            </w:r>
          </w:p>
        </w:tc>
      </w:tr>
      <w:tr w:rsidR="005D4C9F" w:rsidRPr="00F928B0" w14:paraId="62FF1FDB" w14:textId="77777777" w:rsidTr="00E8614F">
        <w:trPr>
          <w:trHeight w:val="521"/>
        </w:trPr>
        <w:tc>
          <w:tcPr>
            <w:tcW w:w="3397" w:type="dxa"/>
            <w:shd w:val="clear" w:color="auto" w:fill="auto"/>
            <w:vAlign w:val="center"/>
          </w:tcPr>
          <w:p w14:paraId="1DB6BCAD" w14:textId="77777777" w:rsidR="005D4C9F" w:rsidRPr="00563A27" w:rsidRDefault="005D4C9F" w:rsidP="00E8614F">
            <w:pPr>
              <w:ind w:left="709" w:hanging="709"/>
              <w:jc w:val="both"/>
              <w:rPr>
                <w:rFonts w:cs="Arial"/>
                <w:b/>
              </w:rPr>
            </w:pPr>
            <w:r w:rsidRPr="00563A27">
              <w:rPr>
                <w:rFonts w:cs="Arial"/>
                <w:b/>
              </w:rPr>
              <w:t>Lower Quartile</w:t>
            </w:r>
          </w:p>
        </w:tc>
        <w:tc>
          <w:tcPr>
            <w:tcW w:w="2552" w:type="dxa"/>
            <w:shd w:val="clear" w:color="auto" w:fill="auto"/>
            <w:vAlign w:val="center"/>
          </w:tcPr>
          <w:p w14:paraId="0670F29F" w14:textId="62CC82BD" w:rsidR="005D4C9F" w:rsidRPr="008871A9" w:rsidRDefault="00AA1A46" w:rsidP="00E8614F">
            <w:pPr>
              <w:ind w:left="709" w:hanging="709"/>
              <w:jc w:val="both"/>
              <w:rPr>
                <w:rFonts w:cs="Arial"/>
              </w:rPr>
            </w:pPr>
            <w:r w:rsidRPr="008871A9">
              <w:rPr>
                <w:rFonts w:cs="Arial"/>
              </w:rPr>
              <w:t>7</w:t>
            </w:r>
            <w:r w:rsidR="006F6064" w:rsidRPr="008871A9">
              <w:rPr>
                <w:rFonts w:cs="Arial"/>
              </w:rPr>
              <w:t>4</w:t>
            </w:r>
            <w:r w:rsidRPr="008871A9">
              <w:rPr>
                <w:rFonts w:cs="Arial"/>
              </w:rPr>
              <w:t>.3</w:t>
            </w:r>
            <w:r w:rsidR="002C1859" w:rsidRPr="008871A9">
              <w:rPr>
                <w:rFonts w:cs="Arial"/>
              </w:rPr>
              <w:t>5</w:t>
            </w:r>
            <w:r w:rsidRPr="008871A9">
              <w:rPr>
                <w:rFonts w:cs="Arial"/>
              </w:rPr>
              <w:t xml:space="preserve"> %</w:t>
            </w:r>
          </w:p>
        </w:tc>
        <w:tc>
          <w:tcPr>
            <w:tcW w:w="2551" w:type="dxa"/>
            <w:shd w:val="clear" w:color="auto" w:fill="auto"/>
            <w:vAlign w:val="center"/>
          </w:tcPr>
          <w:p w14:paraId="361872F6" w14:textId="7EE33419" w:rsidR="005D4C9F" w:rsidRPr="008871A9" w:rsidRDefault="00AA1A46" w:rsidP="00E8614F">
            <w:pPr>
              <w:ind w:left="709" w:hanging="709"/>
              <w:jc w:val="both"/>
              <w:rPr>
                <w:rFonts w:cs="Arial"/>
              </w:rPr>
            </w:pPr>
            <w:r w:rsidRPr="008871A9">
              <w:rPr>
                <w:rFonts w:cs="Arial"/>
              </w:rPr>
              <w:t>2</w:t>
            </w:r>
            <w:r w:rsidR="002C1859" w:rsidRPr="008871A9">
              <w:rPr>
                <w:rFonts w:cs="Arial"/>
              </w:rPr>
              <w:t>5</w:t>
            </w:r>
            <w:r w:rsidRPr="008871A9">
              <w:rPr>
                <w:rFonts w:cs="Arial"/>
              </w:rPr>
              <w:t>.6</w:t>
            </w:r>
            <w:r w:rsidR="002C1859" w:rsidRPr="008871A9">
              <w:rPr>
                <w:rFonts w:cs="Arial"/>
              </w:rPr>
              <w:t>5</w:t>
            </w:r>
            <w:r w:rsidRPr="008871A9">
              <w:rPr>
                <w:rFonts w:cs="Arial"/>
              </w:rPr>
              <w:t xml:space="preserve"> %</w:t>
            </w:r>
          </w:p>
        </w:tc>
      </w:tr>
      <w:tr w:rsidR="005D4C9F" w:rsidRPr="00F928B0" w14:paraId="5ACE7945" w14:textId="77777777" w:rsidTr="00E8614F">
        <w:trPr>
          <w:trHeight w:val="495"/>
        </w:trPr>
        <w:tc>
          <w:tcPr>
            <w:tcW w:w="3397" w:type="dxa"/>
            <w:shd w:val="clear" w:color="auto" w:fill="auto"/>
            <w:vAlign w:val="center"/>
          </w:tcPr>
          <w:p w14:paraId="70760240" w14:textId="77777777" w:rsidR="005D4C9F" w:rsidRPr="00563A27" w:rsidRDefault="005D4C9F" w:rsidP="00E8614F">
            <w:pPr>
              <w:ind w:left="709" w:hanging="709"/>
              <w:jc w:val="both"/>
              <w:rPr>
                <w:rFonts w:cs="Arial"/>
                <w:b/>
              </w:rPr>
            </w:pPr>
            <w:r>
              <w:rPr>
                <w:rFonts w:cs="Arial"/>
                <w:b/>
              </w:rPr>
              <w:t>Lower M</w:t>
            </w:r>
            <w:r w:rsidRPr="00563A27">
              <w:rPr>
                <w:rFonts w:cs="Arial"/>
                <w:b/>
              </w:rPr>
              <w:t>iddle Quartile</w:t>
            </w:r>
          </w:p>
        </w:tc>
        <w:tc>
          <w:tcPr>
            <w:tcW w:w="2552" w:type="dxa"/>
            <w:shd w:val="clear" w:color="auto" w:fill="auto"/>
            <w:vAlign w:val="center"/>
          </w:tcPr>
          <w:p w14:paraId="7A414E74" w14:textId="56FA2F13" w:rsidR="005D4C9F" w:rsidRPr="008871A9" w:rsidRDefault="00AA1A46" w:rsidP="00E8614F">
            <w:pPr>
              <w:ind w:left="709" w:hanging="709"/>
              <w:jc w:val="both"/>
              <w:rPr>
                <w:rFonts w:cs="Arial"/>
              </w:rPr>
            </w:pPr>
            <w:r w:rsidRPr="008871A9">
              <w:rPr>
                <w:rFonts w:cs="Arial"/>
              </w:rPr>
              <w:t>7</w:t>
            </w:r>
            <w:r w:rsidR="002C1859" w:rsidRPr="008871A9">
              <w:rPr>
                <w:rFonts w:cs="Arial"/>
              </w:rPr>
              <w:t>5</w:t>
            </w:r>
            <w:r w:rsidRPr="008871A9">
              <w:rPr>
                <w:rFonts w:cs="Arial"/>
              </w:rPr>
              <w:t>.</w:t>
            </w:r>
            <w:r w:rsidR="002C1859" w:rsidRPr="008871A9">
              <w:rPr>
                <w:rFonts w:cs="Arial"/>
              </w:rPr>
              <w:t>94</w:t>
            </w:r>
            <w:r w:rsidRPr="008871A9">
              <w:rPr>
                <w:rFonts w:cs="Arial"/>
              </w:rPr>
              <w:t xml:space="preserve"> %</w:t>
            </w:r>
          </w:p>
        </w:tc>
        <w:tc>
          <w:tcPr>
            <w:tcW w:w="2551" w:type="dxa"/>
            <w:shd w:val="clear" w:color="auto" w:fill="auto"/>
            <w:vAlign w:val="center"/>
          </w:tcPr>
          <w:p w14:paraId="366BA610" w14:textId="6B8FB47C" w:rsidR="005D4C9F" w:rsidRPr="008871A9" w:rsidRDefault="00AA1A46" w:rsidP="00E8614F">
            <w:pPr>
              <w:ind w:left="709" w:hanging="709"/>
              <w:jc w:val="both"/>
              <w:rPr>
                <w:rFonts w:cs="Arial"/>
              </w:rPr>
            </w:pPr>
            <w:r w:rsidRPr="008871A9">
              <w:rPr>
                <w:rFonts w:cs="Arial"/>
              </w:rPr>
              <w:t>2</w:t>
            </w:r>
            <w:r w:rsidR="00EC02A0" w:rsidRPr="008871A9">
              <w:rPr>
                <w:rFonts w:cs="Arial"/>
              </w:rPr>
              <w:t>4</w:t>
            </w:r>
            <w:r w:rsidRPr="008871A9">
              <w:rPr>
                <w:rFonts w:cs="Arial"/>
              </w:rPr>
              <w:t>.</w:t>
            </w:r>
            <w:r w:rsidR="00EC02A0" w:rsidRPr="008871A9">
              <w:rPr>
                <w:rFonts w:cs="Arial"/>
              </w:rPr>
              <w:t>06</w:t>
            </w:r>
            <w:r w:rsidRPr="008871A9">
              <w:rPr>
                <w:rFonts w:cs="Arial"/>
              </w:rPr>
              <w:t xml:space="preserve"> %</w:t>
            </w:r>
          </w:p>
        </w:tc>
      </w:tr>
      <w:tr w:rsidR="005D4C9F" w:rsidRPr="00F928B0" w14:paraId="036F50AD" w14:textId="77777777" w:rsidTr="00E8614F">
        <w:trPr>
          <w:trHeight w:val="495"/>
        </w:trPr>
        <w:tc>
          <w:tcPr>
            <w:tcW w:w="3397" w:type="dxa"/>
            <w:shd w:val="clear" w:color="auto" w:fill="auto"/>
            <w:vAlign w:val="center"/>
          </w:tcPr>
          <w:p w14:paraId="3E0F3484" w14:textId="77777777" w:rsidR="005D4C9F" w:rsidRPr="00563A27" w:rsidRDefault="005D4C9F" w:rsidP="00E8614F">
            <w:pPr>
              <w:ind w:left="709" w:hanging="709"/>
              <w:jc w:val="both"/>
              <w:rPr>
                <w:rFonts w:cs="Arial"/>
                <w:b/>
              </w:rPr>
            </w:pPr>
            <w:r w:rsidRPr="00563A27">
              <w:rPr>
                <w:rFonts w:cs="Arial"/>
                <w:b/>
              </w:rPr>
              <w:t xml:space="preserve">Upper </w:t>
            </w:r>
            <w:r>
              <w:rPr>
                <w:rFonts w:cs="Arial"/>
                <w:b/>
              </w:rPr>
              <w:t>M</w:t>
            </w:r>
            <w:r w:rsidRPr="00563A27">
              <w:rPr>
                <w:rFonts w:cs="Arial"/>
                <w:b/>
              </w:rPr>
              <w:t>iddle Quartile</w:t>
            </w:r>
          </w:p>
        </w:tc>
        <w:tc>
          <w:tcPr>
            <w:tcW w:w="2552" w:type="dxa"/>
            <w:shd w:val="clear" w:color="auto" w:fill="auto"/>
            <w:vAlign w:val="center"/>
          </w:tcPr>
          <w:p w14:paraId="685E8DBB" w14:textId="1A684B60" w:rsidR="005D4C9F" w:rsidRPr="008871A9" w:rsidRDefault="00AA1A46" w:rsidP="00E8614F">
            <w:pPr>
              <w:ind w:left="709" w:hanging="709"/>
              <w:jc w:val="both"/>
              <w:rPr>
                <w:rFonts w:cs="Arial"/>
              </w:rPr>
            </w:pPr>
            <w:r w:rsidRPr="008871A9">
              <w:rPr>
                <w:rFonts w:cs="Arial"/>
              </w:rPr>
              <w:t>62.</w:t>
            </w:r>
            <w:r w:rsidR="00EC02A0" w:rsidRPr="008871A9">
              <w:rPr>
                <w:rFonts w:cs="Arial"/>
              </w:rPr>
              <w:t>78</w:t>
            </w:r>
            <w:r w:rsidRPr="008871A9">
              <w:rPr>
                <w:rFonts w:cs="Arial"/>
              </w:rPr>
              <w:t xml:space="preserve"> %</w:t>
            </w:r>
          </w:p>
        </w:tc>
        <w:tc>
          <w:tcPr>
            <w:tcW w:w="2551" w:type="dxa"/>
            <w:tcBorders>
              <w:bottom w:val="single" w:sz="4" w:space="0" w:color="auto"/>
            </w:tcBorders>
            <w:shd w:val="clear" w:color="auto" w:fill="auto"/>
            <w:vAlign w:val="center"/>
          </w:tcPr>
          <w:p w14:paraId="0E7040B6" w14:textId="07667DA9" w:rsidR="005D4C9F" w:rsidRPr="008871A9" w:rsidRDefault="00AA1A46" w:rsidP="00E8614F">
            <w:pPr>
              <w:ind w:left="709" w:hanging="709"/>
              <w:jc w:val="both"/>
              <w:rPr>
                <w:rFonts w:cs="Arial"/>
              </w:rPr>
            </w:pPr>
            <w:r w:rsidRPr="008871A9">
              <w:rPr>
                <w:rFonts w:cs="Arial"/>
              </w:rPr>
              <w:t>37.</w:t>
            </w:r>
            <w:r w:rsidR="00EC02A0" w:rsidRPr="008871A9">
              <w:rPr>
                <w:rFonts w:cs="Arial"/>
              </w:rPr>
              <w:t>22</w:t>
            </w:r>
            <w:r w:rsidRPr="008871A9">
              <w:rPr>
                <w:rFonts w:cs="Arial"/>
              </w:rPr>
              <w:t xml:space="preserve"> %</w:t>
            </w:r>
          </w:p>
        </w:tc>
      </w:tr>
      <w:tr w:rsidR="005D4C9F" w:rsidRPr="00F928B0" w14:paraId="66D19971" w14:textId="77777777" w:rsidTr="00E8614F">
        <w:trPr>
          <w:trHeight w:val="412"/>
        </w:trPr>
        <w:tc>
          <w:tcPr>
            <w:tcW w:w="3397" w:type="dxa"/>
            <w:shd w:val="clear" w:color="auto" w:fill="auto"/>
            <w:vAlign w:val="center"/>
          </w:tcPr>
          <w:p w14:paraId="6076A60E" w14:textId="77777777" w:rsidR="005D4C9F" w:rsidRPr="00563A27" w:rsidRDefault="005D4C9F" w:rsidP="00E8614F">
            <w:pPr>
              <w:ind w:left="709" w:hanging="709"/>
              <w:jc w:val="both"/>
              <w:rPr>
                <w:rFonts w:cs="Arial"/>
                <w:b/>
              </w:rPr>
            </w:pPr>
            <w:r w:rsidRPr="00563A27">
              <w:rPr>
                <w:rFonts w:cs="Arial"/>
                <w:b/>
              </w:rPr>
              <w:t>Upper Quartile</w:t>
            </w:r>
          </w:p>
        </w:tc>
        <w:tc>
          <w:tcPr>
            <w:tcW w:w="2552" w:type="dxa"/>
            <w:shd w:val="clear" w:color="auto" w:fill="auto"/>
            <w:vAlign w:val="center"/>
          </w:tcPr>
          <w:p w14:paraId="42CD638B" w14:textId="434E0E66" w:rsidR="005D4C9F" w:rsidRPr="008871A9" w:rsidRDefault="00AA1A46" w:rsidP="00E8614F">
            <w:pPr>
              <w:ind w:left="709" w:hanging="709"/>
              <w:jc w:val="both"/>
              <w:rPr>
                <w:rFonts w:cs="Arial"/>
              </w:rPr>
            </w:pPr>
            <w:r w:rsidRPr="008871A9">
              <w:rPr>
                <w:rFonts w:cs="Arial"/>
              </w:rPr>
              <w:t>7</w:t>
            </w:r>
            <w:r w:rsidR="007729E4" w:rsidRPr="008871A9">
              <w:rPr>
                <w:rFonts w:cs="Arial"/>
              </w:rPr>
              <w:t>5</w:t>
            </w:r>
            <w:r w:rsidRPr="008871A9">
              <w:rPr>
                <w:rFonts w:cs="Arial"/>
              </w:rPr>
              <w:t>.</w:t>
            </w:r>
            <w:r w:rsidR="007729E4" w:rsidRPr="008871A9">
              <w:rPr>
                <w:rFonts w:cs="Arial"/>
              </w:rPr>
              <w:t>77</w:t>
            </w:r>
            <w:r w:rsidRPr="008871A9">
              <w:rPr>
                <w:rFonts w:cs="Arial"/>
              </w:rPr>
              <w:t xml:space="preserve"> %</w:t>
            </w:r>
          </w:p>
        </w:tc>
        <w:tc>
          <w:tcPr>
            <w:tcW w:w="2551" w:type="dxa"/>
            <w:shd w:val="clear" w:color="auto" w:fill="auto"/>
            <w:vAlign w:val="center"/>
          </w:tcPr>
          <w:p w14:paraId="5C709A05" w14:textId="339DADAE" w:rsidR="005D4C9F" w:rsidRPr="008871A9" w:rsidRDefault="00AA1A46" w:rsidP="00E8614F">
            <w:pPr>
              <w:ind w:left="709" w:hanging="709"/>
              <w:jc w:val="both"/>
              <w:rPr>
                <w:rFonts w:cs="Arial"/>
              </w:rPr>
            </w:pPr>
            <w:r w:rsidRPr="008871A9">
              <w:rPr>
                <w:rFonts w:cs="Arial"/>
              </w:rPr>
              <w:t>2</w:t>
            </w:r>
            <w:r w:rsidR="007729E4" w:rsidRPr="008871A9">
              <w:rPr>
                <w:rFonts w:cs="Arial"/>
              </w:rPr>
              <w:t>4</w:t>
            </w:r>
            <w:r w:rsidRPr="008871A9">
              <w:rPr>
                <w:rFonts w:cs="Arial"/>
              </w:rPr>
              <w:t>.</w:t>
            </w:r>
            <w:r w:rsidR="007729E4" w:rsidRPr="008871A9">
              <w:rPr>
                <w:rFonts w:cs="Arial"/>
              </w:rPr>
              <w:t>23</w:t>
            </w:r>
            <w:r w:rsidRPr="008871A9">
              <w:rPr>
                <w:rFonts w:cs="Arial"/>
              </w:rPr>
              <w:t xml:space="preserve"> %</w:t>
            </w:r>
          </w:p>
        </w:tc>
      </w:tr>
    </w:tbl>
    <w:p w14:paraId="11F865E9" w14:textId="77777777" w:rsidR="003D1618" w:rsidRDefault="003D1618" w:rsidP="00A567D6">
      <w:pPr>
        <w:pStyle w:val="ELC-ParaTitle2"/>
        <w:numPr>
          <w:ilvl w:val="0"/>
          <w:numId w:val="0"/>
        </w:numPr>
        <w:tabs>
          <w:tab w:val="clear" w:pos="680"/>
        </w:tabs>
        <w:ind w:left="709" w:hanging="709"/>
        <w:jc w:val="both"/>
        <w:rPr>
          <w:rFonts w:cs="Arial"/>
        </w:rPr>
      </w:pPr>
    </w:p>
    <w:p w14:paraId="016A57AB" w14:textId="77777777" w:rsidR="00E8614F" w:rsidRDefault="00E8614F" w:rsidP="00E8614F">
      <w:pPr>
        <w:pStyle w:val="ELC-ParaTitle2"/>
        <w:numPr>
          <w:ilvl w:val="0"/>
          <w:numId w:val="0"/>
        </w:numPr>
        <w:tabs>
          <w:tab w:val="clear" w:pos="680"/>
        </w:tabs>
        <w:ind w:left="709"/>
        <w:jc w:val="both"/>
        <w:rPr>
          <w:rFonts w:cs="Arial"/>
        </w:rPr>
      </w:pPr>
    </w:p>
    <w:p w14:paraId="618F3002" w14:textId="77777777" w:rsidR="00F1593E" w:rsidRDefault="00F1593E" w:rsidP="00F1593E">
      <w:pPr>
        <w:pStyle w:val="ELC-ParaTitle2"/>
        <w:numPr>
          <w:ilvl w:val="0"/>
          <w:numId w:val="0"/>
        </w:numPr>
        <w:tabs>
          <w:tab w:val="clear" w:pos="680"/>
        </w:tabs>
        <w:ind w:left="420" w:hanging="420"/>
        <w:jc w:val="both"/>
        <w:rPr>
          <w:rFonts w:cs="Arial"/>
        </w:rPr>
      </w:pPr>
      <w:r>
        <w:rPr>
          <w:rFonts w:cs="Arial"/>
        </w:rPr>
        <w:t>3</w:t>
      </w:r>
      <w:r w:rsidR="00E8614F" w:rsidRPr="005B513F">
        <w:rPr>
          <w:rFonts w:cs="Arial"/>
        </w:rPr>
        <w:t>.2</w:t>
      </w:r>
      <w:r w:rsidR="000317EE" w:rsidRPr="005B513F">
        <w:rPr>
          <w:rFonts w:cs="Arial"/>
        </w:rPr>
        <w:t>2</w:t>
      </w:r>
      <w:r w:rsidR="00E8614F" w:rsidRPr="005B513F">
        <w:rPr>
          <w:rFonts w:cs="Arial"/>
        </w:rPr>
        <w:tab/>
      </w:r>
      <w:r w:rsidR="00F609D8" w:rsidRPr="005B513F">
        <w:rPr>
          <w:rFonts w:cs="Arial"/>
        </w:rPr>
        <w:t xml:space="preserve">The quartile analysis fairly represents the gender spread in the </w:t>
      </w:r>
      <w:r w:rsidR="005D4C9F" w:rsidRPr="005B513F">
        <w:rPr>
          <w:rFonts w:cs="Arial"/>
        </w:rPr>
        <w:t>Upper</w:t>
      </w:r>
      <w:r w:rsidR="00F609D8" w:rsidRPr="005B513F">
        <w:rPr>
          <w:rFonts w:cs="Arial"/>
        </w:rPr>
        <w:t xml:space="preserve"> </w:t>
      </w:r>
      <w:r w:rsidR="003C47B4" w:rsidRPr="005B513F">
        <w:rPr>
          <w:rFonts w:cs="Arial"/>
        </w:rPr>
        <w:t>Quartile</w:t>
      </w:r>
      <w:r w:rsidR="00F609D8" w:rsidRPr="005B513F">
        <w:rPr>
          <w:rFonts w:cs="Arial"/>
        </w:rPr>
        <w:t>.</w:t>
      </w:r>
    </w:p>
    <w:p w14:paraId="2D32B6C0" w14:textId="06160010" w:rsidR="00B679A8" w:rsidRPr="005B513F" w:rsidRDefault="00F1593E" w:rsidP="00F1593E">
      <w:pPr>
        <w:pStyle w:val="ELC-ParaTitle2"/>
        <w:numPr>
          <w:ilvl w:val="0"/>
          <w:numId w:val="0"/>
        </w:numPr>
        <w:tabs>
          <w:tab w:val="clear" w:pos="680"/>
        </w:tabs>
        <w:ind w:left="420" w:hanging="420"/>
        <w:jc w:val="both"/>
        <w:rPr>
          <w:rFonts w:cs="Arial"/>
        </w:rPr>
      </w:pPr>
      <w:r>
        <w:rPr>
          <w:rFonts w:cs="Arial"/>
        </w:rPr>
        <w:t>3</w:t>
      </w:r>
      <w:r w:rsidR="00E8614F" w:rsidRPr="005B513F">
        <w:rPr>
          <w:rFonts w:cs="Arial"/>
        </w:rPr>
        <w:t>.2</w:t>
      </w:r>
      <w:r w:rsidR="000317EE" w:rsidRPr="005B513F">
        <w:rPr>
          <w:rFonts w:cs="Arial"/>
        </w:rPr>
        <w:t>3</w:t>
      </w:r>
      <w:r w:rsidR="00E8614F" w:rsidRPr="005B513F">
        <w:rPr>
          <w:rFonts w:cs="Arial"/>
        </w:rPr>
        <w:tab/>
      </w:r>
      <w:r w:rsidR="003C47B4" w:rsidRPr="005B513F">
        <w:rPr>
          <w:rFonts w:cs="Arial"/>
        </w:rPr>
        <w:t>I</w:t>
      </w:r>
      <w:r w:rsidR="00F609D8" w:rsidRPr="005B513F">
        <w:rPr>
          <w:rFonts w:cs="Arial"/>
        </w:rPr>
        <w:t xml:space="preserve">n </w:t>
      </w:r>
      <w:r w:rsidR="00604236" w:rsidRPr="005B513F">
        <w:rPr>
          <w:rFonts w:cs="Arial"/>
        </w:rPr>
        <w:t xml:space="preserve">both </w:t>
      </w:r>
      <w:r w:rsidR="005D4C9F" w:rsidRPr="005B513F">
        <w:rPr>
          <w:rFonts w:cs="Arial"/>
        </w:rPr>
        <w:t>the L</w:t>
      </w:r>
      <w:r w:rsidR="00F609D8" w:rsidRPr="005B513F">
        <w:rPr>
          <w:rFonts w:cs="Arial"/>
        </w:rPr>
        <w:t xml:space="preserve">ower Quartile </w:t>
      </w:r>
      <w:r w:rsidR="005D4C9F" w:rsidRPr="005B513F">
        <w:rPr>
          <w:rFonts w:cs="Arial"/>
        </w:rPr>
        <w:t>and the Lower M</w:t>
      </w:r>
      <w:r w:rsidR="00604236" w:rsidRPr="005B513F">
        <w:rPr>
          <w:rFonts w:cs="Arial"/>
        </w:rPr>
        <w:t xml:space="preserve">iddle Quartile </w:t>
      </w:r>
      <w:r w:rsidR="00F609D8" w:rsidRPr="005B513F">
        <w:rPr>
          <w:rFonts w:cs="Arial"/>
        </w:rPr>
        <w:t>the ratio of males-to-females is reduced</w:t>
      </w:r>
      <w:r w:rsidR="005D4C9F" w:rsidRPr="005B513F">
        <w:rPr>
          <w:rFonts w:cs="Arial"/>
        </w:rPr>
        <w:t xml:space="preserve">. This is explained by the </w:t>
      </w:r>
      <w:r w:rsidR="00F609D8" w:rsidRPr="005B513F">
        <w:rPr>
          <w:rFonts w:cs="Arial"/>
        </w:rPr>
        <w:t xml:space="preserve">high proportion of care and support workers </w:t>
      </w:r>
      <w:r w:rsidR="005D4C9F" w:rsidRPr="005B513F">
        <w:rPr>
          <w:rFonts w:cs="Arial"/>
        </w:rPr>
        <w:t>in this quartile –</w:t>
      </w:r>
      <w:r w:rsidR="0019352F" w:rsidRPr="005B513F">
        <w:rPr>
          <w:rFonts w:cs="Arial"/>
        </w:rPr>
        <w:t xml:space="preserve"> r</w:t>
      </w:r>
      <w:r w:rsidR="005D4C9F" w:rsidRPr="005B513F">
        <w:rPr>
          <w:rFonts w:cs="Arial"/>
        </w:rPr>
        <w:t>ole</w:t>
      </w:r>
      <w:r w:rsidR="0019352F" w:rsidRPr="005B513F">
        <w:rPr>
          <w:rFonts w:cs="Arial"/>
        </w:rPr>
        <w:t>s</w:t>
      </w:r>
      <w:r w:rsidR="005D4C9F" w:rsidRPr="005B513F">
        <w:rPr>
          <w:rFonts w:cs="Arial"/>
        </w:rPr>
        <w:t xml:space="preserve"> which </w:t>
      </w:r>
      <w:r w:rsidR="00AA1A46" w:rsidRPr="005B513F">
        <w:rPr>
          <w:rFonts w:cs="Arial"/>
        </w:rPr>
        <w:t>are</w:t>
      </w:r>
      <w:r w:rsidR="005D4C9F" w:rsidRPr="005B513F">
        <w:rPr>
          <w:rFonts w:cs="Arial"/>
        </w:rPr>
        <w:t xml:space="preserve"> predominantly</w:t>
      </w:r>
      <w:r w:rsidR="00F609D8" w:rsidRPr="005B513F">
        <w:rPr>
          <w:rFonts w:cs="Arial"/>
        </w:rPr>
        <w:t xml:space="preserve"> undertaken by female employees.</w:t>
      </w:r>
    </w:p>
    <w:p w14:paraId="0D99C1CA" w14:textId="31C3E6BD" w:rsidR="00CD2F25" w:rsidRPr="005501A9" w:rsidRDefault="00F1593E" w:rsidP="00E8614F">
      <w:pPr>
        <w:pStyle w:val="ELC-ParaTitle2"/>
        <w:numPr>
          <w:ilvl w:val="0"/>
          <w:numId w:val="0"/>
        </w:numPr>
        <w:tabs>
          <w:tab w:val="clear" w:pos="680"/>
        </w:tabs>
        <w:ind w:left="709" w:hanging="709"/>
        <w:jc w:val="both"/>
        <w:rPr>
          <w:rFonts w:cs="Arial"/>
        </w:rPr>
      </w:pPr>
      <w:r>
        <w:rPr>
          <w:rFonts w:cs="Arial"/>
        </w:rPr>
        <w:t>3</w:t>
      </w:r>
      <w:r w:rsidR="00E8614F" w:rsidRPr="005B513F">
        <w:rPr>
          <w:rFonts w:cs="Arial"/>
        </w:rPr>
        <w:t>.2</w:t>
      </w:r>
      <w:r w:rsidR="000317EE" w:rsidRPr="005B513F">
        <w:rPr>
          <w:rFonts w:cs="Arial"/>
        </w:rPr>
        <w:t>4</w:t>
      </w:r>
      <w:r w:rsidR="00E8614F" w:rsidRPr="005B513F">
        <w:rPr>
          <w:rFonts w:cs="Arial"/>
        </w:rPr>
        <w:tab/>
      </w:r>
      <w:r w:rsidR="005D4C9F" w:rsidRPr="005B513F">
        <w:rPr>
          <w:rFonts w:cs="Arial"/>
        </w:rPr>
        <w:t>In the Upper Middle Quartile, the ratio</w:t>
      </w:r>
      <w:r w:rsidR="00CD2F25" w:rsidRPr="005B513F">
        <w:rPr>
          <w:rFonts w:cs="Arial"/>
        </w:rPr>
        <w:t xml:space="preserve"> of males-to-females is increased. </w:t>
      </w:r>
      <w:r w:rsidR="00D05504">
        <w:rPr>
          <w:rFonts w:cs="Arial"/>
        </w:rPr>
        <w:t>There is a</w:t>
      </w:r>
      <w:r w:rsidR="00BD033B" w:rsidRPr="005B513F">
        <w:rPr>
          <w:rFonts w:cs="Arial"/>
        </w:rPr>
        <w:t xml:space="preserve"> high proportion of craft w</w:t>
      </w:r>
      <w:r w:rsidR="00CD2F25" w:rsidRPr="005B513F">
        <w:rPr>
          <w:rFonts w:cs="Arial"/>
        </w:rPr>
        <w:t>orkers</w:t>
      </w:r>
      <w:r w:rsidR="00BD033B" w:rsidRPr="005B513F">
        <w:rPr>
          <w:rFonts w:cs="Arial"/>
        </w:rPr>
        <w:t xml:space="preserve"> in this quartile</w:t>
      </w:r>
      <w:r w:rsidR="00D05504">
        <w:rPr>
          <w:rFonts w:cs="Arial"/>
        </w:rPr>
        <w:t>.  These r</w:t>
      </w:r>
      <w:r w:rsidR="0019352F" w:rsidRPr="005B513F">
        <w:rPr>
          <w:rFonts w:cs="Arial"/>
        </w:rPr>
        <w:t xml:space="preserve">oles </w:t>
      </w:r>
      <w:r w:rsidR="00AA1A46" w:rsidRPr="005B513F">
        <w:rPr>
          <w:rFonts w:cs="Arial"/>
        </w:rPr>
        <w:t xml:space="preserve">are </w:t>
      </w:r>
      <w:r w:rsidR="0019352F" w:rsidRPr="005B513F">
        <w:rPr>
          <w:rFonts w:cs="Arial"/>
        </w:rPr>
        <w:t>predominantly undertaken by male employees.</w:t>
      </w:r>
    </w:p>
    <w:p w14:paraId="0A930D50" w14:textId="61044BA6" w:rsidR="003D1618" w:rsidRPr="00A6288D" w:rsidRDefault="00F1593E" w:rsidP="00E8614F">
      <w:pPr>
        <w:pStyle w:val="ELC-ParaTitle2"/>
        <w:numPr>
          <w:ilvl w:val="0"/>
          <w:numId w:val="0"/>
        </w:numPr>
        <w:tabs>
          <w:tab w:val="clear" w:pos="680"/>
        </w:tabs>
        <w:ind w:left="709" w:hanging="709"/>
        <w:jc w:val="both"/>
        <w:rPr>
          <w:rFonts w:cs="Arial"/>
          <w:szCs w:val="24"/>
        </w:rPr>
      </w:pPr>
      <w:r>
        <w:rPr>
          <w:rFonts w:cs="Arial"/>
        </w:rPr>
        <w:t>3</w:t>
      </w:r>
      <w:r w:rsidR="00E8614F">
        <w:rPr>
          <w:rFonts w:cs="Arial"/>
        </w:rPr>
        <w:t>.2</w:t>
      </w:r>
      <w:r w:rsidR="000317EE">
        <w:rPr>
          <w:rFonts w:cs="Arial"/>
        </w:rPr>
        <w:t>5</w:t>
      </w:r>
      <w:r w:rsidR="00E8614F">
        <w:rPr>
          <w:rFonts w:cs="Arial"/>
        </w:rPr>
        <w:tab/>
      </w:r>
      <w:r w:rsidR="00D05504">
        <w:rPr>
          <w:rFonts w:cs="Arial"/>
        </w:rPr>
        <w:t>S</w:t>
      </w:r>
      <w:r w:rsidR="00D05504" w:rsidRPr="00A6288D">
        <w:rPr>
          <w:rFonts w:cs="Arial"/>
        </w:rPr>
        <w:t>everal jobs within the Council includ</w:t>
      </w:r>
      <w:r w:rsidR="00D05504">
        <w:rPr>
          <w:rFonts w:cs="Arial"/>
        </w:rPr>
        <w:t>e a</w:t>
      </w:r>
      <w:r w:rsidR="00D05504" w:rsidRPr="00A6288D">
        <w:rPr>
          <w:rFonts w:cs="Arial"/>
        </w:rPr>
        <w:t xml:space="preserve"> payment over and above the basic rate for the job </w:t>
      </w:r>
      <w:r w:rsidR="00D05504">
        <w:rPr>
          <w:rFonts w:cs="Arial"/>
        </w:rPr>
        <w:t xml:space="preserve">which explains </w:t>
      </w:r>
      <w:r w:rsidR="000505A2">
        <w:rPr>
          <w:rFonts w:cs="Arial"/>
        </w:rPr>
        <w:t xml:space="preserve">the </w:t>
      </w:r>
      <w:r w:rsidR="003D1618" w:rsidRPr="00A6288D">
        <w:rPr>
          <w:rFonts w:cs="Arial"/>
        </w:rPr>
        <w:t xml:space="preserve">discrepancies above.  </w:t>
      </w:r>
      <w:r w:rsidR="00B679A8" w:rsidRPr="00A6288D">
        <w:rPr>
          <w:rFonts w:cs="Arial"/>
        </w:rPr>
        <w:t>For example:</w:t>
      </w:r>
    </w:p>
    <w:p w14:paraId="467272E7" w14:textId="4968B5CE" w:rsidR="003D1618" w:rsidRPr="00A6288D" w:rsidRDefault="003D1618" w:rsidP="00E8614F">
      <w:pPr>
        <w:pStyle w:val="ListParagraph"/>
        <w:numPr>
          <w:ilvl w:val="0"/>
          <w:numId w:val="20"/>
        </w:numPr>
        <w:spacing w:line="276" w:lineRule="auto"/>
        <w:ind w:left="1418" w:hanging="709"/>
        <w:contextualSpacing w:val="0"/>
        <w:jc w:val="both"/>
        <w:rPr>
          <w:rFonts w:cs="Arial"/>
          <w:szCs w:val="24"/>
        </w:rPr>
      </w:pPr>
      <w:r w:rsidRPr="00A6288D">
        <w:rPr>
          <w:rFonts w:cs="Arial"/>
          <w:szCs w:val="24"/>
        </w:rPr>
        <w:t xml:space="preserve">Payment for higher graded duties/acting up </w:t>
      </w:r>
      <w:r w:rsidR="00AA1A46" w:rsidRPr="00A6288D">
        <w:rPr>
          <w:rFonts w:cs="Arial"/>
          <w:szCs w:val="24"/>
        </w:rPr>
        <w:t>allowance</w:t>
      </w:r>
    </w:p>
    <w:p w14:paraId="2FAEF4A4" w14:textId="0B369E6F" w:rsidR="003D1618" w:rsidRPr="00A6288D" w:rsidRDefault="003D1618" w:rsidP="00E8614F">
      <w:pPr>
        <w:pStyle w:val="ListParagraph"/>
        <w:numPr>
          <w:ilvl w:val="0"/>
          <w:numId w:val="20"/>
        </w:numPr>
        <w:spacing w:line="276" w:lineRule="auto"/>
        <w:ind w:left="1418" w:hanging="709"/>
        <w:contextualSpacing w:val="0"/>
        <w:jc w:val="both"/>
        <w:rPr>
          <w:rFonts w:cs="Arial"/>
          <w:szCs w:val="24"/>
        </w:rPr>
      </w:pPr>
      <w:r w:rsidRPr="00A6288D">
        <w:rPr>
          <w:rFonts w:cs="Arial"/>
          <w:szCs w:val="24"/>
        </w:rPr>
        <w:t>Shift Allowance/Night Shift Premium</w:t>
      </w:r>
    </w:p>
    <w:p w14:paraId="65EC008E" w14:textId="77777777" w:rsidR="003D1618" w:rsidRPr="00A6288D" w:rsidRDefault="003D1618" w:rsidP="00E8614F">
      <w:pPr>
        <w:pStyle w:val="ListParagraph"/>
        <w:numPr>
          <w:ilvl w:val="0"/>
          <w:numId w:val="20"/>
        </w:numPr>
        <w:spacing w:line="276" w:lineRule="auto"/>
        <w:ind w:left="1418" w:hanging="709"/>
        <w:contextualSpacing w:val="0"/>
        <w:jc w:val="both"/>
        <w:rPr>
          <w:rFonts w:cs="Arial"/>
          <w:szCs w:val="24"/>
        </w:rPr>
      </w:pPr>
      <w:r w:rsidRPr="00A6288D">
        <w:rPr>
          <w:rFonts w:cs="Arial"/>
          <w:szCs w:val="24"/>
        </w:rPr>
        <w:t>Contractual call out/Contractual standby payments</w:t>
      </w:r>
    </w:p>
    <w:p w14:paraId="29DE44A5" w14:textId="77777777" w:rsidR="003D1618" w:rsidRPr="00A6288D" w:rsidRDefault="003D1618" w:rsidP="00E8614F">
      <w:pPr>
        <w:pStyle w:val="ListParagraph"/>
        <w:numPr>
          <w:ilvl w:val="0"/>
          <w:numId w:val="20"/>
        </w:numPr>
        <w:spacing w:line="276" w:lineRule="auto"/>
        <w:ind w:left="1418" w:hanging="709"/>
        <w:contextualSpacing w:val="0"/>
        <w:jc w:val="both"/>
        <w:rPr>
          <w:rFonts w:cs="Arial"/>
          <w:szCs w:val="24"/>
        </w:rPr>
      </w:pPr>
      <w:r w:rsidRPr="00A6288D">
        <w:rPr>
          <w:rFonts w:cs="Arial"/>
          <w:szCs w:val="24"/>
        </w:rPr>
        <w:t>First aid allowance</w:t>
      </w:r>
    </w:p>
    <w:p w14:paraId="4EFC277C" w14:textId="77777777" w:rsidR="003D1618" w:rsidRPr="00A6288D" w:rsidRDefault="003D1618" w:rsidP="00E8614F">
      <w:pPr>
        <w:pStyle w:val="ListParagraph"/>
        <w:numPr>
          <w:ilvl w:val="0"/>
          <w:numId w:val="20"/>
        </w:numPr>
        <w:spacing w:line="276" w:lineRule="auto"/>
        <w:ind w:left="1418" w:hanging="709"/>
        <w:contextualSpacing w:val="0"/>
        <w:jc w:val="both"/>
        <w:rPr>
          <w:rFonts w:cs="Arial"/>
          <w:szCs w:val="24"/>
        </w:rPr>
      </w:pPr>
      <w:r w:rsidRPr="00A6288D">
        <w:rPr>
          <w:rFonts w:cs="Arial"/>
          <w:szCs w:val="24"/>
        </w:rPr>
        <w:t>Sleeping-in allowance</w:t>
      </w:r>
    </w:p>
    <w:p w14:paraId="3A83AD11" w14:textId="77777777" w:rsidR="00B679A8" w:rsidRPr="00B679A8" w:rsidRDefault="00B679A8" w:rsidP="00A567D6">
      <w:pPr>
        <w:pStyle w:val="ListParagraph"/>
        <w:spacing w:line="276" w:lineRule="auto"/>
        <w:ind w:left="709" w:hanging="709"/>
        <w:contextualSpacing w:val="0"/>
        <w:jc w:val="both"/>
        <w:rPr>
          <w:rFonts w:cs="Arial"/>
          <w:szCs w:val="24"/>
        </w:rPr>
      </w:pPr>
    </w:p>
    <w:p w14:paraId="1CADF91D" w14:textId="77777777" w:rsidR="000505A2" w:rsidRDefault="000505A2" w:rsidP="00E8614F">
      <w:pPr>
        <w:pStyle w:val="ELC-ParaTitle2"/>
        <w:numPr>
          <w:ilvl w:val="0"/>
          <w:numId w:val="0"/>
        </w:numPr>
        <w:tabs>
          <w:tab w:val="clear" w:pos="680"/>
        </w:tabs>
        <w:ind w:left="709"/>
        <w:jc w:val="both"/>
        <w:rPr>
          <w:rFonts w:cs="Arial"/>
          <w:b/>
        </w:rPr>
      </w:pPr>
    </w:p>
    <w:p w14:paraId="758BDB1C" w14:textId="779EA85D" w:rsidR="00CD2F25" w:rsidRPr="00CD2F25" w:rsidRDefault="00CD2F25" w:rsidP="00E8614F">
      <w:pPr>
        <w:pStyle w:val="ELC-ParaTitle2"/>
        <w:numPr>
          <w:ilvl w:val="0"/>
          <w:numId w:val="0"/>
        </w:numPr>
        <w:tabs>
          <w:tab w:val="clear" w:pos="680"/>
        </w:tabs>
        <w:ind w:left="709"/>
        <w:jc w:val="both"/>
        <w:rPr>
          <w:rFonts w:cs="Arial"/>
          <w:b/>
        </w:rPr>
      </w:pPr>
      <w:r w:rsidRPr="00CD2F25">
        <w:rPr>
          <w:rFonts w:cs="Arial"/>
          <w:b/>
        </w:rPr>
        <w:t>Working to Close the Gap</w:t>
      </w:r>
    </w:p>
    <w:p w14:paraId="1161C8F2" w14:textId="5EFE2827" w:rsidR="00CD2F25" w:rsidRDefault="00F1593E" w:rsidP="002B1AB4">
      <w:pPr>
        <w:pStyle w:val="ELC-ParaTitle2"/>
        <w:numPr>
          <w:ilvl w:val="0"/>
          <w:numId w:val="0"/>
        </w:numPr>
        <w:tabs>
          <w:tab w:val="clear" w:pos="680"/>
        </w:tabs>
        <w:spacing w:after="240"/>
        <w:ind w:left="709" w:hanging="709"/>
        <w:jc w:val="both"/>
        <w:rPr>
          <w:rFonts w:cs="Arial"/>
        </w:rPr>
      </w:pPr>
      <w:r>
        <w:rPr>
          <w:rFonts w:cs="Arial"/>
        </w:rPr>
        <w:t>3</w:t>
      </w:r>
      <w:r w:rsidR="00E8614F">
        <w:rPr>
          <w:rFonts w:cs="Arial"/>
        </w:rPr>
        <w:t>.2</w:t>
      </w:r>
      <w:r w:rsidR="000317EE">
        <w:rPr>
          <w:rFonts w:cs="Arial"/>
        </w:rPr>
        <w:t>7</w:t>
      </w:r>
      <w:r w:rsidR="00E8614F">
        <w:rPr>
          <w:rFonts w:cs="Arial"/>
        </w:rPr>
        <w:tab/>
      </w:r>
      <w:r w:rsidR="00CD2F25" w:rsidRPr="00CD2F25">
        <w:rPr>
          <w:rFonts w:cs="Arial"/>
        </w:rPr>
        <w:t>East Lothian Council is committed to reducing the gender pay gap</w:t>
      </w:r>
      <w:r w:rsidR="00D22720">
        <w:rPr>
          <w:rFonts w:cs="Arial"/>
        </w:rPr>
        <w:t xml:space="preserve">. It </w:t>
      </w:r>
      <w:r w:rsidR="00CD2F25" w:rsidRPr="00CD2F25">
        <w:rPr>
          <w:rFonts w:cs="Arial"/>
        </w:rPr>
        <w:t>continues to implement measures to reduce the gender pay gap and any</w:t>
      </w:r>
      <w:r w:rsidR="00D22720">
        <w:rPr>
          <w:rFonts w:cs="Arial"/>
        </w:rPr>
        <w:t xml:space="preserve"> inequalities in specific areas; including, but not limited to</w:t>
      </w:r>
      <w:r w:rsidR="00CD2F25" w:rsidRPr="00CD2F25">
        <w:rPr>
          <w:rFonts w:cs="Arial"/>
        </w:rPr>
        <w:t xml:space="preserve"> the following:</w:t>
      </w:r>
    </w:p>
    <w:p w14:paraId="49AE362E" w14:textId="77777777" w:rsidR="00E30602" w:rsidRDefault="00B679A8" w:rsidP="00E8614F">
      <w:pPr>
        <w:pStyle w:val="ELC-ParaTitle2"/>
        <w:numPr>
          <w:ilvl w:val="0"/>
          <w:numId w:val="0"/>
        </w:numPr>
        <w:tabs>
          <w:tab w:val="clear" w:pos="680"/>
        </w:tabs>
        <w:ind w:left="709"/>
        <w:jc w:val="both"/>
        <w:rPr>
          <w:rFonts w:cs="Arial"/>
        </w:rPr>
      </w:pPr>
      <w:r>
        <w:rPr>
          <w:rFonts w:cs="Arial"/>
          <w:u w:val="single"/>
        </w:rPr>
        <w:t xml:space="preserve">Equalities </w:t>
      </w:r>
      <w:r w:rsidR="008F533E" w:rsidRPr="005B5FFD">
        <w:rPr>
          <w:rFonts w:cs="Arial"/>
          <w:u w:val="single"/>
        </w:rPr>
        <w:t>Monitoring</w:t>
      </w:r>
      <w:r w:rsidR="008F533E" w:rsidRPr="008F533E">
        <w:rPr>
          <w:rFonts w:cs="Arial"/>
        </w:rPr>
        <w:t xml:space="preserve"> </w:t>
      </w:r>
      <w:r w:rsidR="008A34FC">
        <w:rPr>
          <w:rFonts w:cs="Arial"/>
        </w:rPr>
        <w:t xml:space="preserve">- </w:t>
      </w:r>
      <w:r w:rsidR="008F533E" w:rsidRPr="008F533E">
        <w:rPr>
          <w:rFonts w:cs="Arial"/>
        </w:rPr>
        <w:t>ELC will continue to report</w:t>
      </w:r>
      <w:r w:rsidR="00394F96">
        <w:rPr>
          <w:rFonts w:cs="Arial"/>
        </w:rPr>
        <w:t xml:space="preserve"> annually</w:t>
      </w:r>
      <w:r w:rsidR="008F533E" w:rsidRPr="008F533E">
        <w:rPr>
          <w:rFonts w:cs="Arial"/>
        </w:rPr>
        <w:t xml:space="preserve"> on </w:t>
      </w:r>
      <w:r w:rsidR="00D018DD">
        <w:rPr>
          <w:rFonts w:cs="Arial"/>
        </w:rPr>
        <w:t xml:space="preserve">gender </w:t>
      </w:r>
      <w:r w:rsidR="008F533E" w:rsidRPr="008F533E">
        <w:rPr>
          <w:rFonts w:cs="Arial"/>
        </w:rPr>
        <w:t>e</w:t>
      </w:r>
      <w:r w:rsidR="00D22720">
        <w:rPr>
          <w:rFonts w:cs="Arial"/>
        </w:rPr>
        <w:t>qualities and monitoring within both its employee and recruitment profiles.</w:t>
      </w:r>
      <w:r w:rsidR="00106506">
        <w:rPr>
          <w:rFonts w:cs="Arial"/>
        </w:rPr>
        <w:t xml:space="preserve"> We commit to monitoring the gender imbalance in the promotion process</w:t>
      </w:r>
      <w:r w:rsidR="00E30602">
        <w:rPr>
          <w:rFonts w:cs="Arial"/>
        </w:rPr>
        <w:t xml:space="preserve">. </w:t>
      </w:r>
      <w:r w:rsidR="00106506">
        <w:rPr>
          <w:rFonts w:cs="Arial"/>
        </w:rPr>
        <w:t xml:space="preserve"> </w:t>
      </w:r>
    </w:p>
    <w:p w14:paraId="4FC10835" w14:textId="2ED7D8FD" w:rsidR="00D018DD" w:rsidRPr="00890D5C" w:rsidRDefault="005B5FFD" w:rsidP="00E8614F">
      <w:pPr>
        <w:pStyle w:val="ELC-ParaTitle2"/>
        <w:numPr>
          <w:ilvl w:val="0"/>
          <w:numId w:val="0"/>
        </w:numPr>
        <w:tabs>
          <w:tab w:val="clear" w:pos="680"/>
        </w:tabs>
        <w:ind w:left="709"/>
        <w:jc w:val="both"/>
        <w:rPr>
          <w:rFonts w:cs="Arial"/>
        </w:rPr>
      </w:pPr>
      <w:r w:rsidRPr="004518CA">
        <w:rPr>
          <w:rFonts w:cs="Arial"/>
          <w:u w:val="single"/>
        </w:rPr>
        <w:t>Ensure related policies and practices are up to date</w:t>
      </w:r>
      <w:r w:rsidR="008A34FC" w:rsidRPr="004518CA">
        <w:rPr>
          <w:rFonts w:cs="Arial"/>
        </w:rPr>
        <w:t xml:space="preserve"> - </w:t>
      </w:r>
      <w:r w:rsidR="00890D5C" w:rsidRPr="00890D5C">
        <w:rPr>
          <w:rFonts w:cs="Arial"/>
        </w:rPr>
        <w:t xml:space="preserve">ELC will continue to review its Equal </w:t>
      </w:r>
      <w:r w:rsidR="00AA1A46">
        <w:rPr>
          <w:rFonts w:cs="Arial"/>
        </w:rPr>
        <w:t xml:space="preserve">Employment </w:t>
      </w:r>
      <w:r w:rsidR="00890D5C" w:rsidRPr="00890D5C">
        <w:rPr>
          <w:rFonts w:cs="Arial"/>
        </w:rPr>
        <w:t xml:space="preserve">Opportunities policy which aims to create a “Fair and Diverse East Lothian”. The Council has already developed a range of policies - </w:t>
      </w:r>
      <w:r w:rsidR="00472C9D" w:rsidRPr="00890D5C">
        <w:rPr>
          <w:rFonts w:cs="Arial"/>
        </w:rPr>
        <w:t>e.g.</w:t>
      </w:r>
      <w:r w:rsidR="00890D5C" w:rsidRPr="00890D5C">
        <w:rPr>
          <w:rFonts w:cs="Arial"/>
        </w:rPr>
        <w:t xml:space="preserve"> </w:t>
      </w:r>
      <w:hyperlink r:id="rId10" w:history="1">
        <w:r w:rsidR="00394F96" w:rsidRPr="00394F96">
          <w:rPr>
            <w:rStyle w:val="Hyperlink"/>
            <w:rFonts w:cs="Arial"/>
          </w:rPr>
          <w:t>Recruitment and Selection Policy</w:t>
        </w:r>
      </w:hyperlink>
      <w:r w:rsidR="00890D5C" w:rsidRPr="00890D5C">
        <w:rPr>
          <w:rFonts w:cs="Arial"/>
        </w:rPr>
        <w:t xml:space="preserve"> - which support these strategic aims.  The Council seeks to emphasise its commitment to equal opportunities and diversity within all its employment practices and procedures</w:t>
      </w:r>
      <w:r w:rsidR="000028DE">
        <w:rPr>
          <w:rFonts w:cs="Arial"/>
        </w:rPr>
        <w:t xml:space="preserve"> as outlined in our </w:t>
      </w:r>
      <w:hyperlink r:id="rId11" w:history="1">
        <w:r w:rsidR="000028DE">
          <w:rPr>
            <w:rStyle w:val="Hyperlink"/>
            <w:rFonts w:cs="Arial"/>
          </w:rPr>
          <w:t>Equal Opportunities Statement.</w:t>
        </w:r>
      </w:hyperlink>
      <w:r w:rsidR="000028DE">
        <w:rPr>
          <w:rFonts w:cs="Arial"/>
        </w:rPr>
        <w:t xml:space="preserve">  </w:t>
      </w:r>
      <w:r w:rsidR="00F23B6B">
        <w:rPr>
          <w:rFonts w:cs="Arial"/>
        </w:rPr>
        <w:t xml:space="preserve">In </w:t>
      </w:r>
      <w:r w:rsidR="00F23B6B" w:rsidRPr="00F23B6B">
        <w:rPr>
          <w:rFonts w:cs="Arial"/>
        </w:rPr>
        <w:t>order to prevent discrimination on the grounds of gender within the council, decisions on all aspects of employment will be based solely on job-related criteria.</w:t>
      </w:r>
    </w:p>
    <w:p w14:paraId="3B64A71B" w14:textId="5A08A5A9" w:rsidR="005B5FFD" w:rsidRPr="005B5FFD" w:rsidRDefault="005B5FFD" w:rsidP="00E8614F">
      <w:pPr>
        <w:pStyle w:val="ELC-ParaTitle2"/>
        <w:numPr>
          <w:ilvl w:val="0"/>
          <w:numId w:val="0"/>
        </w:numPr>
        <w:tabs>
          <w:tab w:val="clear" w:pos="680"/>
        </w:tabs>
        <w:ind w:left="709"/>
        <w:jc w:val="both"/>
        <w:rPr>
          <w:rFonts w:cs="Arial"/>
        </w:rPr>
      </w:pPr>
      <w:r w:rsidRPr="005B5FFD">
        <w:rPr>
          <w:rFonts w:cs="Arial"/>
          <w:u w:val="single"/>
        </w:rPr>
        <w:t>Manage family-friendly leave successfully</w:t>
      </w:r>
      <w:r w:rsidR="008A34FC">
        <w:rPr>
          <w:rFonts w:cs="Arial"/>
        </w:rPr>
        <w:t xml:space="preserve"> - </w:t>
      </w:r>
      <w:r w:rsidR="00DC3835">
        <w:rPr>
          <w:rFonts w:cs="Arial"/>
        </w:rPr>
        <w:t>ELC</w:t>
      </w:r>
      <w:r w:rsidR="000A4869">
        <w:rPr>
          <w:rFonts w:cs="Arial"/>
        </w:rPr>
        <w:t xml:space="preserve"> will continue to review, </w:t>
      </w:r>
      <w:r w:rsidRPr="005B5FFD">
        <w:rPr>
          <w:rFonts w:cs="Arial"/>
        </w:rPr>
        <w:t xml:space="preserve">monitor </w:t>
      </w:r>
      <w:r w:rsidR="000A4869">
        <w:rPr>
          <w:rFonts w:cs="Arial"/>
        </w:rPr>
        <w:t xml:space="preserve">and update </w:t>
      </w:r>
      <w:r w:rsidR="00472C9D">
        <w:rPr>
          <w:rFonts w:cs="Arial"/>
        </w:rPr>
        <w:t>its</w:t>
      </w:r>
      <w:r w:rsidR="000A4869">
        <w:rPr>
          <w:rFonts w:cs="Arial"/>
        </w:rPr>
        <w:t xml:space="preserve"> </w:t>
      </w:r>
      <w:r w:rsidRPr="005B5FFD">
        <w:rPr>
          <w:rFonts w:cs="Arial"/>
        </w:rPr>
        <w:t>Family Leave policy and practices</w:t>
      </w:r>
      <w:r w:rsidR="00B679A8">
        <w:rPr>
          <w:rFonts w:cs="Arial"/>
        </w:rPr>
        <w:t xml:space="preserve"> to ensure it is equally accessible to </w:t>
      </w:r>
      <w:r w:rsidR="00AA1A46">
        <w:rPr>
          <w:rFonts w:cs="Arial"/>
        </w:rPr>
        <w:t xml:space="preserve">all </w:t>
      </w:r>
      <w:r w:rsidR="00B679A8">
        <w:rPr>
          <w:rFonts w:cs="Arial"/>
        </w:rPr>
        <w:t>employees.</w:t>
      </w:r>
    </w:p>
    <w:p w14:paraId="1F6B8616" w14:textId="132D35C9" w:rsidR="00F4413D" w:rsidRDefault="005B5FFD" w:rsidP="00E8614F">
      <w:pPr>
        <w:pStyle w:val="ELC-ParaTitle2"/>
        <w:numPr>
          <w:ilvl w:val="0"/>
          <w:numId w:val="0"/>
        </w:numPr>
        <w:tabs>
          <w:tab w:val="clear" w:pos="680"/>
        </w:tabs>
        <w:ind w:left="709"/>
        <w:jc w:val="both"/>
        <w:rPr>
          <w:rFonts w:cs="Arial"/>
        </w:rPr>
      </w:pPr>
      <w:r w:rsidRPr="005B5FFD">
        <w:rPr>
          <w:rFonts w:cs="Arial"/>
          <w:u w:val="single"/>
        </w:rPr>
        <w:t>Make the most of flexible working</w:t>
      </w:r>
      <w:r w:rsidRPr="005B5FFD">
        <w:rPr>
          <w:rFonts w:cs="Arial"/>
        </w:rPr>
        <w:t xml:space="preserve"> – </w:t>
      </w:r>
      <w:r w:rsidR="00DC3835">
        <w:rPr>
          <w:rFonts w:cs="Arial"/>
        </w:rPr>
        <w:t>ELC</w:t>
      </w:r>
      <w:r w:rsidR="008A34FC" w:rsidRPr="008A34FC">
        <w:rPr>
          <w:rFonts w:cs="Arial"/>
        </w:rPr>
        <w:t xml:space="preserve"> will co</w:t>
      </w:r>
      <w:r w:rsidR="000A4869">
        <w:rPr>
          <w:rFonts w:cs="Arial"/>
        </w:rPr>
        <w:t>ntinue to review and monitor its</w:t>
      </w:r>
      <w:r w:rsidR="007E6A2B">
        <w:rPr>
          <w:rFonts w:cs="Arial"/>
        </w:rPr>
        <w:t xml:space="preserve"> </w:t>
      </w:r>
      <w:hyperlink r:id="rId12" w:history="1">
        <w:r w:rsidR="007E6A2B" w:rsidRPr="007E6A2B">
          <w:rPr>
            <w:rStyle w:val="Hyperlink"/>
            <w:rFonts w:cs="Arial"/>
          </w:rPr>
          <w:t>Home Working</w:t>
        </w:r>
      </w:hyperlink>
      <w:r w:rsidR="007E6A2B">
        <w:rPr>
          <w:rFonts w:cs="Arial"/>
        </w:rPr>
        <w:t xml:space="preserve"> </w:t>
      </w:r>
      <w:r w:rsidR="00B679A8">
        <w:rPr>
          <w:rFonts w:cs="Arial"/>
        </w:rPr>
        <w:t>and</w:t>
      </w:r>
      <w:r w:rsidR="007E6A2B">
        <w:rPr>
          <w:rFonts w:cs="Arial"/>
        </w:rPr>
        <w:t xml:space="preserve"> </w:t>
      </w:r>
      <w:hyperlink r:id="rId13" w:history="1">
        <w:proofErr w:type="spellStart"/>
        <w:r w:rsidR="007E6A2B" w:rsidRPr="007E6A2B">
          <w:rPr>
            <w:rStyle w:val="Hyperlink"/>
            <w:rFonts w:cs="Arial"/>
          </w:rPr>
          <w:t>Worksmart</w:t>
        </w:r>
        <w:proofErr w:type="spellEnd"/>
        <w:r w:rsidR="007E6A2B" w:rsidRPr="007E6A2B">
          <w:rPr>
            <w:rStyle w:val="Hyperlink"/>
            <w:rFonts w:cs="Arial"/>
          </w:rPr>
          <w:t xml:space="preserve"> (Flexible Working)</w:t>
        </w:r>
      </w:hyperlink>
      <w:r w:rsidR="00B679A8">
        <w:rPr>
          <w:rFonts w:cs="Arial"/>
        </w:rPr>
        <w:t xml:space="preserve"> policies</w:t>
      </w:r>
      <w:r w:rsidR="008A34FC" w:rsidRPr="008A34FC">
        <w:rPr>
          <w:rFonts w:cs="Arial"/>
        </w:rPr>
        <w:t xml:space="preserve"> and practices </w:t>
      </w:r>
      <w:r w:rsidR="008A34FC">
        <w:rPr>
          <w:rFonts w:cs="Arial"/>
        </w:rPr>
        <w:t xml:space="preserve">to reduce </w:t>
      </w:r>
      <w:r w:rsidR="00DC3835">
        <w:rPr>
          <w:rFonts w:cs="Arial"/>
        </w:rPr>
        <w:t xml:space="preserve">the </w:t>
      </w:r>
      <w:r w:rsidR="000A4869">
        <w:rPr>
          <w:rFonts w:cs="Arial"/>
        </w:rPr>
        <w:t>negative impact</w:t>
      </w:r>
      <w:r w:rsidR="00DC3835">
        <w:rPr>
          <w:rFonts w:cs="Arial"/>
        </w:rPr>
        <w:t xml:space="preserve"> that flexible working can have</w:t>
      </w:r>
      <w:r w:rsidR="000A4869">
        <w:rPr>
          <w:rFonts w:cs="Arial"/>
        </w:rPr>
        <w:t xml:space="preserve"> on</w:t>
      </w:r>
      <w:r w:rsidR="00DC3835">
        <w:rPr>
          <w:rFonts w:cs="Arial"/>
        </w:rPr>
        <w:t xml:space="preserve"> </w:t>
      </w:r>
      <w:r w:rsidRPr="005B5FFD">
        <w:rPr>
          <w:rFonts w:cs="Arial"/>
        </w:rPr>
        <w:t xml:space="preserve">career development.  </w:t>
      </w:r>
      <w:r w:rsidR="00890D5C">
        <w:rPr>
          <w:rFonts w:cs="Arial"/>
        </w:rPr>
        <w:t>Th</w:t>
      </w:r>
      <w:r w:rsidR="007E6A2B">
        <w:rPr>
          <w:rFonts w:cs="Arial"/>
        </w:rPr>
        <w:t>ese</w:t>
      </w:r>
      <w:r w:rsidR="00890D5C">
        <w:rPr>
          <w:rFonts w:cs="Arial"/>
        </w:rPr>
        <w:t xml:space="preserve"> polic</w:t>
      </w:r>
      <w:r w:rsidR="007E6A2B">
        <w:rPr>
          <w:rFonts w:cs="Arial"/>
        </w:rPr>
        <w:t>ies</w:t>
      </w:r>
      <w:r w:rsidR="00890D5C">
        <w:rPr>
          <w:rFonts w:cs="Arial"/>
        </w:rPr>
        <w:t xml:space="preserve"> w</w:t>
      </w:r>
      <w:r w:rsidR="007E6A2B">
        <w:rPr>
          <w:rFonts w:cs="Arial"/>
        </w:rPr>
        <w:t>ere</w:t>
      </w:r>
      <w:r w:rsidR="00890D5C">
        <w:rPr>
          <w:rFonts w:cs="Arial"/>
        </w:rPr>
        <w:t xml:space="preserve"> last updated in 2022 to include modifications to the </w:t>
      </w:r>
      <w:r w:rsidR="007E6A2B">
        <w:rPr>
          <w:rFonts w:cs="Arial"/>
        </w:rPr>
        <w:t>H</w:t>
      </w:r>
      <w:r w:rsidR="00890D5C">
        <w:rPr>
          <w:rFonts w:cs="Arial"/>
        </w:rPr>
        <w:t xml:space="preserve">omeworking </w:t>
      </w:r>
      <w:r w:rsidR="007E6A2B">
        <w:rPr>
          <w:rFonts w:cs="Arial"/>
        </w:rPr>
        <w:t>P</w:t>
      </w:r>
      <w:r w:rsidR="00890D5C">
        <w:rPr>
          <w:rFonts w:cs="Arial"/>
        </w:rPr>
        <w:t xml:space="preserve">olicy and the introduction of </w:t>
      </w:r>
      <w:r w:rsidR="007E6A2B">
        <w:rPr>
          <w:rFonts w:cs="Arial"/>
        </w:rPr>
        <w:t>Hybrid</w:t>
      </w:r>
      <w:r w:rsidR="00890D5C">
        <w:rPr>
          <w:rFonts w:cs="Arial"/>
        </w:rPr>
        <w:t xml:space="preserve"> working </w:t>
      </w:r>
      <w:r w:rsidR="007E6A2B">
        <w:rPr>
          <w:rFonts w:cs="Arial"/>
        </w:rPr>
        <w:t xml:space="preserve">under the  </w:t>
      </w:r>
      <w:hyperlink r:id="rId14" w:history="1">
        <w:proofErr w:type="spellStart"/>
        <w:r w:rsidR="007E6A2B">
          <w:rPr>
            <w:rStyle w:val="Hyperlink"/>
            <w:rFonts w:cs="Arial"/>
          </w:rPr>
          <w:t>Worksmart</w:t>
        </w:r>
        <w:proofErr w:type="spellEnd"/>
        <w:r w:rsidR="007E6A2B">
          <w:rPr>
            <w:rStyle w:val="Hyperlink"/>
            <w:rFonts w:cs="Arial"/>
          </w:rPr>
          <w:t xml:space="preserve"> Policy.</w:t>
        </w:r>
      </w:hyperlink>
    </w:p>
    <w:p w14:paraId="7B03B435" w14:textId="738001CF" w:rsidR="0019352F" w:rsidRPr="0019352F" w:rsidRDefault="0019352F" w:rsidP="00E8614F">
      <w:pPr>
        <w:pStyle w:val="ELC-ParaTitle2"/>
        <w:numPr>
          <w:ilvl w:val="0"/>
          <w:numId w:val="0"/>
        </w:numPr>
        <w:tabs>
          <w:tab w:val="clear" w:pos="680"/>
        </w:tabs>
        <w:ind w:left="709"/>
        <w:jc w:val="both"/>
        <w:rPr>
          <w:rFonts w:cs="Arial"/>
        </w:rPr>
      </w:pPr>
      <w:r w:rsidRPr="0019352F">
        <w:rPr>
          <w:rFonts w:cs="Arial"/>
          <w:u w:val="single"/>
        </w:rPr>
        <w:t xml:space="preserve">Encourage and review career and talent development </w:t>
      </w:r>
      <w:r w:rsidRPr="00DC3835">
        <w:rPr>
          <w:rFonts w:cs="Arial"/>
        </w:rPr>
        <w:t xml:space="preserve">– </w:t>
      </w:r>
      <w:r w:rsidR="00DC3835">
        <w:rPr>
          <w:rFonts w:cs="Arial"/>
        </w:rPr>
        <w:t xml:space="preserve">ELC </w:t>
      </w:r>
      <w:r w:rsidR="000A4869">
        <w:rPr>
          <w:rFonts w:cs="Arial"/>
        </w:rPr>
        <w:t>aims</w:t>
      </w:r>
      <w:r w:rsidR="00DC3835">
        <w:rPr>
          <w:rFonts w:cs="Arial"/>
        </w:rPr>
        <w:t xml:space="preserve"> </w:t>
      </w:r>
      <w:r w:rsidR="006D5991">
        <w:rPr>
          <w:rFonts w:cs="Arial"/>
        </w:rPr>
        <w:t xml:space="preserve">to </w:t>
      </w:r>
      <w:r w:rsidR="00DC3835">
        <w:rPr>
          <w:rFonts w:cs="Arial"/>
        </w:rPr>
        <w:t xml:space="preserve">make talent development opportunities </w:t>
      </w:r>
      <w:r w:rsidRPr="0019352F">
        <w:rPr>
          <w:rFonts w:cs="Arial"/>
        </w:rPr>
        <w:t>as accessi</w:t>
      </w:r>
      <w:r w:rsidR="00DC3835">
        <w:rPr>
          <w:rFonts w:cs="Arial"/>
        </w:rPr>
        <w:t xml:space="preserve">ble as possible to all employees </w:t>
      </w:r>
      <w:r w:rsidR="006D5991">
        <w:rPr>
          <w:rFonts w:cs="Arial"/>
        </w:rPr>
        <w:t xml:space="preserve">within the workplace. </w:t>
      </w:r>
      <w:r w:rsidR="00842BEA">
        <w:rPr>
          <w:rFonts w:cs="Arial"/>
        </w:rPr>
        <w:t>Furthermore,</w:t>
      </w:r>
      <w:r w:rsidR="006D5991">
        <w:rPr>
          <w:rFonts w:cs="Arial"/>
        </w:rPr>
        <w:t xml:space="preserve"> it </w:t>
      </w:r>
      <w:r w:rsidR="00DC3835">
        <w:rPr>
          <w:rFonts w:cs="Arial"/>
        </w:rPr>
        <w:t>aims to remove any obstacles which prevent female employees from making use of such development/</w:t>
      </w:r>
      <w:r w:rsidRPr="0019352F">
        <w:rPr>
          <w:rFonts w:cs="Arial"/>
        </w:rPr>
        <w:t>upskilling opportunities.</w:t>
      </w:r>
      <w:r w:rsidR="00DC3835">
        <w:rPr>
          <w:rFonts w:cs="Arial"/>
        </w:rPr>
        <w:t xml:space="preserve"> ELC </w:t>
      </w:r>
      <w:r w:rsidR="00AE0CA5">
        <w:rPr>
          <w:rFonts w:cs="Arial"/>
        </w:rPr>
        <w:t>has</w:t>
      </w:r>
      <w:r w:rsidRPr="0019352F">
        <w:rPr>
          <w:rFonts w:cs="Arial"/>
        </w:rPr>
        <w:t xml:space="preserve"> implemented a Professional Development Scheme and </w:t>
      </w:r>
      <w:r w:rsidR="009E2998">
        <w:rPr>
          <w:rFonts w:cs="Arial"/>
        </w:rPr>
        <w:t>is</w:t>
      </w:r>
      <w:r>
        <w:rPr>
          <w:rFonts w:cs="Arial"/>
        </w:rPr>
        <w:t xml:space="preserve"> </w:t>
      </w:r>
      <w:r w:rsidRPr="0019352F">
        <w:rPr>
          <w:rFonts w:cs="Arial"/>
        </w:rPr>
        <w:t>actively</w:t>
      </w:r>
      <w:r w:rsidR="00DC3835">
        <w:rPr>
          <w:rFonts w:cs="Arial"/>
        </w:rPr>
        <w:t xml:space="preserve"> promoting this to </w:t>
      </w:r>
      <w:r w:rsidRPr="0019352F">
        <w:rPr>
          <w:rFonts w:cs="Arial"/>
        </w:rPr>
        <w:t xml:space="preserve">Service Areas. </w:t>
      </w:r>
      <w:r>
        <w:rPr>
          <w:rFonts w:cs="Arial"/>
        </w:rPr>
        <w:t>T</w:t>
      </w:r>
      <w:r w:rsidR="00DC3835">
        <w:rPr>
          <w:rFonts w:cs="Arial"/>
        </w:rPr>
        <w:t xml:space="preserve">o date ELC </w:t>
      </w:r>
      <w:r w:rsidR="00695345">
        <w:rPr>
          <w:rFonts w:cs="Arial"/>
        </w:rPr>
        <w:t>has</w:t>
      </w:r>
      <w:r>
        <w:rPr>
          <w:rFonts w:cs="Arial"/>
        </w:rPr>
        <w:t xml:space="preserve"> developed</w:t>
      </w:r>
      <w:r w:rsidRPr="0019352F">
        <w:rPr>
          <w:rFonts w:cs="Arial"/>
        </w:rPr>
        <w:t xml:space="preserve"> 5</w:t>
      </w:r>
      <w:r w:rsidR="00842BEA">
        <w:rPr>
          <w:rFonts w:cs="Arial"/>
        </w:rPr>
        <w:t xml:space="preserve"> Trainee</w:t>
      </w:r>
      <w:r w:rsidRPr="0019352F">
        <w:rPr>
          <w:rFonts w:cs="Arial"/>
        </w:rPr>
        <w:t xml:space="preserve"> Schemes</w:t>
      </w:r>
      <w:r w:rsidR="00842BEA">
        <w:rPr>
          <w:rFonts w:cs="Arial"/>
        </w:rPr>
        <w:t xml:space="preserve"> within the Professional Development Scheme</w:t>
      </w:r>
      <w:r w:rsidR="000A4869">
        <w:rPr>
          <w:rFonts w:cs="Arial"/>
        </w:rPr>
        <w:t xml:space="preserve"> and envision</w:t>
      </w:r>
      <w:r w:rsidR="00695345">
        <w:rPr>
          <w:rFonts w:cs="Arial"/>
        </w:rPr>
        <w:t>s</w:t>
      </w:r>
      <w:r w:rsidR="000A4869">
        <w:rPr>
          <w:rFonts w:cs="Arial"/>
        </w:rPr>
        <w:t xml:space="preserve"> that this will continue to expand</w:t>
      </w:r>
      <w:r w:rsidR="00EA0713">
        <w:rPr>
          <w:rFonts w:cs="Arial"/>
        </w:rPr>
        <w:t>. T</w:t>
      </w:r>
      <w:r w:rsidRPr="0019352F">
        <w:rPr>
          <w:rFonts w:cs="Arial"/>
        </w:rPr>
        <w:t>he scheme will be monitored and developed as and when required in consultation with Service Managers/Heads of Service.</w:t>
      </w:r>
      <w:r w:rsidRPr="0019352F">
        <w:rPr>
          <w:rFonts w:cs="Arial"/>
          <w:u w:val="single"/>
        </w:rPr>
        <w:t xml:space="preserve">  </w:t>
      </w:r>
    </w:p>
    <w:p w14:paraId="58255AA0" w14:textId="30FAA432" w:rsidR="00EC3460" w:rsidRPr="005B5FFD" w:rsidRDefault="005B5FFD" w:rsidP="00E8614F">
      <w:pPr>
        <w:pStyle w:val="ELC-ParaTitle2"/>
        <w:numPr>
          <w:ilvl w:val="0"/>
          <w:numId w:val="0"/>
        </w:numPr>
        <w:tabs>
          <w:tab w:val="clear" w:pos="680"/>
        </w:tabs>
        <w:ind w:left="709"/>
        <w:jc w:val="both"/>
        <w:rPr>
          <w:rFonts w:cs="Arial"/>
        </w:rPr>
      </w:pPr>
      <w:r w:rsidRPr="005B5FFD">
        <w:rPr>
          <w:rFonts w:cs="Arial"/>
          <w:u w:val="single"/>
        </w:rPr>
        <w:t>Minimise any negative impact from pay systems</w:t>
      </w:r>
      <w:r w:rsidR="00EA0713">
        <w:rPr>
          <w:rFonts w:cs="Arial"/>
        </w:rPr>
        <w:t xml:space="preserve"> – ELC </w:t>
      </w:r>
      <w:r w:rsidRPr="005B5FFD">
        <w:rPr>
          <w:rFonts w:cs="Arial"/>
        </w:rPr>
        <w:t xml:space="preserve">will continue to review </w:t>
      </w:r>
      <w:r w:rsidR="006D5991">
        <w:rPr>
          <w:rFonts w:cs="Arial"/>
        </w:rPr>
        <w:t>its use of the</w:t>
      </w:r>
      <w:r w:rsidRPr="005B5FFD">
        <w:rPr>
          <w:rFonts w:cs="Arial"/>
        </w:rPr>
        <w:t xml:space="preserve"> Job Evaluation Scheme to ensure consistency and e</w:t>
      </w:r>
      <w:r w:rsidR="006D5991">
        <w:rPr>
          <w:rFonts w:cs="Arial"/>
        </w:rPr>
        <w:t xml:space="preserve">quality in its application.  It </w:t>
      </w:r>
      <w:r w:rsidRPr="005B5FFD">
        <w:rPr>
          <w:rFonts w:cs="Arial"/>
        </w:rPr>
        <w:t xml:space="preserve">will continue to review pay </w:t>
      </w:r>
      <w:r w:rsidR="006D5991">
        <w:rPr>
          <w:rFonts w:cs="Arial"/>
        </w:rPr>
        <w:t>and</w:t>
      </w:r>
      <w:r w:rsidRPr="005B5FFD">
        <w:rPr>
          <w:rFonts w:cs="Arial"/>
        </w:rPr>
        <w:t xml:space="preserve"> grading structures</w:t>
      </w:r>
      <w:r w:rsidR="006D5991">
        <w:rPr>
          <w:rFonts w:cs="Arial"/>
        </w:rPr>
        <w:t>,</w:t>
      </w:r>
      <w:r w:rsidRPr="005B5FFD">
        <w:rPr>
          <w:rFonts w:cs="Arial"/>
        </w:rPr>
        <w:t xml:space="preserve"> </w:t>
      </w:r>
      <w:r w:rsidR="003278E3">
        <w:rPr>
          <w:rFonts w:cs="Arial"/>
        </w:rPr>
        <w:t>as well as</w:t>
      </w:r>
      <w:r w:rsidR="006D5991">
        <w:rPr>
          <w:rFonts w:cs="Arial"/>
        </w:rPr>
        <w:t xml:space="preserve"> their</w:t>
      </w:r>
      <w:r w:rsidRPr="005B5FFD">
        <w:rPr>
          <w:rFonts w:cs="Arial"/>
        </w:rPr>
        <w:t xml:space="preserve"> associated terms and conditions.</w:t>
      </w:r>
    </w:p>
    <w:p w14:paraId="2C129241" w14:textId="6E830837" w:rsidR="005B5FFD" w:rsidRDefault="005B5FFD" w:rsidP="00E8614F">
      <w:pPr>
        <w:pStyle w:val="ELC-ParaTitle2"/>
        <w:numPr>
          <w:ilvl w:val="0"/>
          <w:numId w:val="0"/>
        </w:numPr>
        <w:tabs>
          <w:tab w:val="clear" w:pos="680"/>
        </w:tabs>
        <w:ind w:left="709"/>
        <w:jc w:val="both"/>
        <w:rPr>
          <w:rFonts w:cs="Arial"/>
        </w:rPr>
      </w:pPr>
      <w:r w:rsidRPr="005B5FFD">
        <w:rPr>
          <w:rFonts w:cs="Arial"/>
          <w:u w:val="single"/>
        </w:rPr>
        <w:t>Train and support line managers</w:t>
      </w:r>
      <w:r w:rsidRPr="005B5FFD">
        <w:rPr>
          <w:rFonts w:cs="Arial"/>
        </w:rPr>
        <w:t xml:space="preserve"> –</w:t>
      </w:r>
      <w:r w:rsidR="00EA0713">
        <w:rPr>
          <w:rFonts w:cs="Arial"/>
        </w:rPr>
        <w:t xml:space="preserve"> ELC will continue to </w:t>
      </w:r>
      <w:r w:rsidR="00EA0713" w:rsidRPr="00EA0713">
        <w:rPr>
          <w:rFonts w:cs="Arial"/>
        </w:rPr>
        <w:t>work closely with the Organisation Development Team</w:t>
      </w:r>
      <w:r w:rsidR="003278E3">
        <w:rPr>
          <w:rFonts w:cs="Arial"/>
        </w:rPr>
        <w:t xml:space="preserve"> and Human Resources </w:t>
      </w:r>
      <w:r w:rsidR="00EA0713" w:rsidRPr="00EA0713">
        <w:rPr>
          <w:rFonts w:cs="Arial"/>
        </w:rPr>
        <w:t>to develop and deliver training/briefings to Managers on HR policies and procedures.</w:t>
      </w:r>
      <w:r w:rsidR="00EA0713">
        <w:rPr>
          <w:rFonts w:cs="Arial"/>
        </w:rPr>
        <w:t xml:space="preserve"> </w:t>
      </w:r>
      <w:r w:rsidR="00394F96">
        <w:rPr>
          <w:rFonts w:cs="Arial"/>
        </w:rPr>
        <w:t>They</w:t>
      </w:r>
      <w:r w:rsidR="00EA0713">
        <w:rPr>
          <w:rFonts w:cs="Arial"/>
        </w:rPr>
        <w:t xml:space="preserve"> will endeavour to</w:t>
      </w:r>
      <w:r w:rsidRPr="005B5FFD">
        <w:rPr>
          <w:rFonts w:cs="Arial"/>
        </w:rPr>
        <w:t xml:space="preserve"> ensure that all managers are aware of any policy changes and have received appropriate training to ensure they understand what behaviours and actions are </w:t>
      </w:r>
      <w:r w:rsidR="000A4869">
        <w:rPr>
          <w:rFonts w:cs="Arial"/>
        </w:rPr>
        <w:t>expected within the workplace</w:t>
      </w:r>
      <w:r w:rsidR="00EA0713">
        <w:rPr>
          <w:rFonts w:cs="Arial"/>
        </w:rPr>
        <w:t>. Similarly, a</w:t>
      </w:r>
      <w:r w:rsidRPr="005B5FFD">
        <w:rPr>
          <w:rFonts w:cs="Arial"/>
        </w:rPr>
        <w:t xml:space="preserve">ny employee involved in the recruitment of </w:t>
      </w:r>
      <w:r w:rsidR="00695345">
        <w:rPr>
          <w:rFonts w:cs="Arial"/>
        </w:rPr>
        <w:t xml:space="preserve">other </w:t>
      </w:r>
      <w:r w:rsidRPr="005B5FFD">
        <w:rPr>
          <w:rFonts w:cs="Arial"/>
        </w:rPr>
        <w:t xml:space="preserve">employees </w:t>
      </w:r>
      <w:r w:rsidR="00EA0713">
        <w:rPr>
          <w:rFonts w:cs="Arial"/>
        </w:rPr>
        <w:t>will</w:t>
      </w:r>
      <w:r w:rsidR="003278E3">
        <w:rPr>
          <w:rFonts w:cs="Arial"/>
        </w:rPr>
        <w:t xml:space="preserve"> </w:t>
      </w:r>
      <w:r w:rsidR="00EA0713">
        <w:rPr>
          <w:rFonts w:cs="Arial"/>
        </w:rPr>
        <w:t>be</w:t>
      </w:r>
      <w:r w:rsidRPr="005B5FFD">
        <w:rPr>
          <w:rFonts w:cs="Arial"/>
        </w:rPr>
        <w:t xml:space="preserve"> trained to ensure, fair, non-discriminatory and consistent processes are followed. </w:t>
      </w:r>
      <w:r w:rsidR="00EA0713">
        <w:rPr>
          <w:rFonts w:cs="Arial"/>
        </w:rPr>
        <w:t xml:space="preserve">In 2022 ELC </w:t>
      </w:r>
      <w:r w:rsidR="000A4869">
        <w:rPr>
          <w:rFonts w:cs="Arial"/>
        </w:rPr>
        <w:t xml:space="preserve">updated and </w:t>
      </w:r>
      <w:r w:rsidR="000A4869" w:rsidRPr="00440900">
        <w:rPr>
          <w:rFonts w:cs="Arial"/>
        </w:rPr>
        <w:t>re</w:t>
      </w:r>
      <w:r w:rsidR="000D058B" w:rsidRPr="00440900">
        <w:rPr>
          <w:rFonts w:cs="Arial"/>
        </w:rPr>
        <w:t>issued</w:t>
      </w:r>
      <w:r w:rsidR="000A4869" w:rsidRPr="000D058B">
        <w:rPr>
          <w:rFonts w:cs="Arial"/>
          <w:color w:val="FF0000"/>
        </w:rPr>
        <w:t xml:space="preserve"> </w:t>
      </w:r>
      <w:r w:rsidR="000A4869">
        <w:rPr>
          <w:rFonts w:cs="Arial"/>
        </w:rPr>
        <w:t>its mandatory</w:t>
      </w:r>
      <w:r w:rsidR="003278E3">
        <w:rPr>
          <w:rFonts w:cs="Arial"/>
        </w:rPr>
        <w:t xml:space="preserve"> Equality &amp; Diversity Awareness</w:t>
      </w:r>
      <w:r w:rsidR="000A4869">
        <w:rPr>
          <w:rFonts w:cs="Arial"/>
        </w:rPr>
        <w:t xml:space="preserve"> training module</w:t>
      </w:r>
      <w:r w:rsidR="00EA0713">
        <w:rPr>
          <w:rFonts w:cs="Arial"/>
        </w:rPr>
        <w:t xml:space="preserve"> </w:t>
      </w:r>
      <w:r w:rsidR="000D058B">
        <w:rPr>
          <w:rFonts w:cs="Arial"/>
        </w:rPr>
        <w:t xml:space="preserve">to ensure all employees, including managers and employees responsible for </w:t>
      </w:r>
      <w:r w:rsidR="000D058B" w:rsidRPr="005B5FFD">
        <w:rPr>
          <w:rFonts w:cs="Arial"/>
        </w:rPr>
        <w:t>recruitment</w:t>
      </w:r>
      <w:r w:rsidR="000D058B">
        <w:rPr>
          <w:rFonts w:cs="Arial"/>
        </w:rPr>
        <w:t xml:space="preserve">, </w:t>
      </w:r>
      <w:r w:rsidR="00440900">
        <w:rPr>
          <w:rFonts w:cs="Arial"/>
        </w:rPr>
        <w:t xml:space="preserve">were fully conversant with the </w:t>
      </w:r>
      <w:proofErr w:type="gramStart"/>
      <w:r w:rsidR="00440900">
        <w:rPr>
          <w:rFonts w:cs="Arial"/>
        </w:rPr>
        <w:t>equalities</w:t>
      </w:r>
      <w:proofErr w:type="gramEnd"/>
      <w:r w:rsidR="00440900">
        <w:rPr>
          <w:rFonts w:cs="Arial"/>
        </w:rPr>
        <w:t xml:space="preserve"> expectations of East Lothian Council</w:t>
      </w:r>
      <w:r w:rsidR="006D5991">
        <w:rPr>
          <w:rFonts w:cs="Arial"/>
        </w:rPr>
        <w:t>.</w:t>
      </w:r>
      <w:r w:rsidR="00440900">
        <w:rPr>
          <w:rFonts w:cs="Arial"/>
        </w:rPr>
        <w:t xml:space="preserve"> </w:t>
      </w:r>
      <w:r w:rsidR="00695345">
        <w:rPr>
          <w:rFonts w:cs="Arial"/>
        </w:rPr>
        <w:t xml:space="preserve">Employees must complete this training annually. </w:t>
      </w:r>
    </w:p>
    <w:p w14:paraId="5F819131" w14:textId="77777777" w:rsidR="00DB3431" w:rsidRDefault="00DB3431" w:rsidP="00E8614F">
      <w:pPr>
        <w:pStyle w:val="ELC-ParaTitle2"/>
        <w:numPr>
          <w:ilvl w:val="0"/>
          <w:numId w:val="0"/>
        </w:numPr>
        <w:tabs>
          <w:tab w:val="clear" w:pos="680"/>
        </w:tabs>
        <w:ind w:left="709"/>
        <w:jc w:val="both"/>
        <w:rPr>
          <w:rFonts w:cs="Arial"/>
        </w:rPr>
      </w:pPr>
      <w:r>
        <w:rPr>
          <w:rFonts w:cs="Arial"/>
          <w:u w:val="single"/>
        </w:rPr>
        <w:t xml:space="preserve">Equally Safe at Work Accreditation </w:t>
      </w:r>
      <w:r>
        <w:rPr>
          <w:rFonts w:cs="Arial"/>
        </w:rPr>
        <w:t xml:space="preserve">– ELC </w:t>
      </w:r>
      <w:r w:rsidR="00F27F98">
        <w:rPr>
          <w:rFonts w:cs="Arial"/>
        </w:rPr>
        <w:t>aspires to become</w:t>
      </w:r>
      <w:r>
        <w:rPr>
          <w:rFonts w:cs="Arial"/>
        </w:rPr>
        <w:t xml:space="preserve"> an Equally Safe at Work Accredited Employer. </w:t>
      </w:r>
      <w:r w:rsidR="001D2CFC" w:rsidRPr="00DB3431">
        <w:rPr>
          <w:rFonts w:cs="Arial"/>
        </w:rPr>
        <w:t xml:space="preserve">Equally Safe at Work was developed to support the </w:t>
      </w:r>
      <w:r w:rsidR="006A7A0F">
        <w:rPr>
          <w:rFonts w:cs="Arial"/>
        </w:rPr>
        <w:t xml:space="preserve">implementation of Equally Safe - </w:t>
      </w:r>
      <w:r w:rsidR="001D2CFC" w:rsidRPr="00DB3431">
        <w:rPr>
          <w:rFonts w:cs="Arial"/>
        </w:rPr>
        <w:t>Scotland's national strategy to prevent and eradicate violence against</w:t>
      </w:r>
      <w:r w:rsidR="001D2CFC">
        <w:rPr>
          <w:rFonts w:cs="Arial"/>
        </w:rPr>
        <w:t xml:space="preserve"> women and girls. </w:t>
      </w:r>
      <w:r>
        <w:rPr>
          <w:rFonts w:cs="Arial"/>
        </w:rPr>
        <w:t xml:space="preserve">The strategy </w:t>
      </w:r>
      <w:r w:rsidRPr="00DB3431">
        <w:rPr>
          <w:rFonts w:cs="Arial"/>
        </w:rPr>
        <w:t>recognises that violence against women is a cause and conseque</w:t>
      </w:r>
      <w:r w:rsidR="001D2CFC">
        <w:rPr>
          <w:rFonts w:cs="Arial"/>
        </w:rPr>
        <w:t xml:space="preserve">nce of wider gender inequality. </w:t>
      </w:r>
      <w:r w:rsidRPr="00DB3431">
        <w:rPr>
          <w:rFonts w:cs="Arial"/>
        </w:rPr>
        <w:t>Addressing gender inequality in the workplace is therefore a fundamental step in preventing violence against women.</w:t>
      </w:r>
    </w:p>
    <w:p w14:paraId="08ABECE1" w14:textId="16A54EFC" w:rsidR="00F4413D" w:rsidRPr="00F43637" w:rsidRDefault="00F21FC2" w:rsidP="00E8614F">
      <w:pPr>
        <w:pStyle w:val="ELC-ParaTitle2"/>
        <w:numPr>
          <w:ilvl w:val="0"/>
          <w:numId w:val="0"/>
        </w:numPr>
        <w:tabs>
          <w:tab w:val="clear" w:pos="680"/>
        </w:tabs>
        <w:ind w:left="709"/>
        <w:jc w:val="both"/>
        <w:rPr>
          <w:rFonts w:cs="Arial"/>
        </w:rPr>
      </w:pPr>
      <w:hyperlink r:id="rId15" w:history="1">
        <w:r w:rsidR="00321F1D" w:rsidRPr="00F43637">
          <w:rPr>
            <w:rStyle w:val="Hyperlink"/>
            <w:color w:val="auto"/>
          </w:rPr>
          <w:t>Menopause and Hormonal Conditions</w:t>
        </w:r>
        <w:r w:rsidR="00321F1D" w:rsidRPr="00F43637">
          <w:rPr>
            <w:rStyle w:val="Hyperlink"/>
            <w:color w:val="auto"/>
            <w:u w:val="none"/>
          </w:rPr>
          <w:t xml:space="preserve"> </w:t>
        </w:r>
        <w:r w:rsidR="00F43637" w:rsidRPr="00F43637">
          <w:rPr>
            <w:rStyle w:val="Hyperlink"/>
            <w:color w:val="auto"/>
            <w:u w:val="none"/>
          </w:rPr>
          <w:t xml:space="preserve">– East Lothian Council will continue to support menopausal women to remain in the workplace, having introduced a Menopause and Hormonal Conditions Policy and </w:t>
        </w:r>
        <w:r w:rsidR="00F43637">
          <w:rPr>
            <w:rStyle w:val="Hyperlink"/>
            <w:color w:val="auto"/>
            <w:u w:val="none"/>
          </w:rPr>
          <w:t xml:space="preserve">will also </w:t>
        </w:r>
        <w:r w:rsidR="00F43637" w:rsidRPr="00F43637">
          <w:rPr>
            <w:rStyle w:val="Hyperlink"/>
            <w:color w:val="auto"/>
            <w:u w:val="none"/>
          </w:rPr>
          <w:t>continue to enable the Menopause Support Group.</w:t>
        </w:r>
      </w:hyperlink>
    </w:p>
    <w:p w14:paraId="46AB32AE" w14:textId="0052EEC5" w:rsidR="000D058B" w:rsidRDefault="00E30602" w:rsidP="00E8614F">
      <w:pPr>
        <w:pStyle w:val="ELC-ParaTitle2"/>
        <w:numPr>
          <w:ilvl w:val="0"/>
          <w:numId w:val="0"/>
        </w:numPr>
        <w:tabs>
          <w:tab w:val="clear" w:pos="680"/>
        </w:tabs>
        <w:ind w:left="709"/>
        <w:jc w:val="both"/>
        <w:rPr>
          <w:rFonts w:cs="Arial"/>
        </w:rPr>
      </w:pPr>
      <w:r>
        <w:rPr>
          <w:rFonts w:cs="Arial"/>
          <w:u w:val="single"/>
        </w:rPr>
        <w:t>P</w:t>
      </w:r>
      <w:r w:rsidR="005B5FFD" w:rsidRPr="00EA0713">
        <w:rPr>
          <w:rFonts w:cs="Arial"/>
          <w:u w:val="single"/>
        </w:rPr>
        <w:t>ositive action</w:t>
      </w:r>
      <w:r w:rsidR="00EA0713" w:rsidRPr="00EA0713">
        <w:rPr>
          <w:rFonts w:cs="Arial"/>
        </w:rPr>
        <w:t xml:space="preserve"> –</w:t>
      </w:r>
      <w:r w:rsidR="00F27F98">
        <w:rPr>
          <w:rFonts w:cs="Arial"/>
        </w:rPr>
        <w:t xml:space="preserve"> </w:t>
      </w:r>
      <w:r w:rsidR="005A5A2E">
        <w:rPr>
          <w:rFonts w:cs="Arial"/>
        </w:rPr>
        <w:t xml:space="preserve">In line with the Equalities Act 2010 </w:t>
      </w:r>
      <w:r w:rsidR="000D058B">
        <w:rPr>
          <w:rFonts w:cs="Arial"/>
        </w:rPr>
        <w:t xml:space="preserve">ELC will </w:t>
      </w:r>
      <w:r>
        <w:rPr>
          <w:rFonts w:cs="Arial"/>
        </w:rPr>
        <w:t>continue</w:t>
      </w:r>
      <w:r w:rsidR="000D058B">
        <w:rPr>
          <w:rFonts w:cs="Arial"/>
        </w:rPr>
        <w:t xml:space="preserve"> taking </w:t>
      </w:r>
      <w:r w:rsidR="000D058B" w:rsidRPr="005B5FFD">
        <w:rPr>
          <w:rFonts w:cs="Arial"/>
        </w:rPr>
        <w:t xml:space="preserve">‘positive action’ to help employees or job applicants it </w:t>
      </w:r>
      <w:r w:rsidR="00E92D10">
        <w:rPr>
          <w:rFonts w:cs="Arial"/>
        </w:rPr>
        <w:t>believes</w:t>
      </w:r>
      <w:r w:rsidR="00E92D10" w:rsidRPr="005B5FFD">
        <w:rPr>
          <w:rFonts w:cs="Arial"/>
        </w:rPr>
        <w:t>:</w:t>
      </w:r>
    </w:p>
    <w:p w14:paraId="30C406DE" w14:textId="77777777" w:rsidR="000D058B" w:rsidRPr="005501A9" w:rsidRDefault="000D058B" w:rsidP="00E8614F">
      <w:pPr>
        <w:pStyle w:val="ListParagraph"/>
        <w:numPr>
          <w:ilvl w:val="0"/>
          <w:numId w:val="21"/>
        </w:numPr>
        <w:spacing w:line="276" w:lineRule="auto"/>
        <w:ind w:left="1418" w:hanging="709"/>
        <w:contextualSpacing w:val="0"/>
        <w:jc w:val="both"/>
        <w:rPr>
          <w:rFonts w:cs="Arial"/>
          <w:szCs w:val="24"/>
        </w:rPr>
      </w:pPr>
      <w:r w:rsidRPr="005501A9">
        <w:rPr>
          <w:rFonts w:cs="Arial"/>
          <w:szCs w:val="24"/>
        </w:rPr>
        <w:t xml:space="preserve">are at a disadvantage because of their sex, </w:t>
      </w:r>
      <w:r w:rsidRPr="005501A9">
        <w:rPr>
          <w:rFonts w:cs="Arial"/>
          <w:szCs w:val="24"/>
          <w:u w:val="single"/>
        </w:rPr>
        <w:t>and/or</w:t>
      </w:r>
    </w:p>
    <w:p w14:paraId="6B483B54" w14:textId="77777777" w:rsidR="000D058B" w:rsidRPr="005501A9" w:rsidRDefault="000D058B" w:rsidP="00E8614F">
      <w:pPr>
        <w:pStyle w:val="ListParagraph"/>
        <w:numPr>
          <w:ilvl w:val="0"/>
          <w:numId w:val="21"/>
        </w:numPr>
        <w:spacing w:line="276" w:lineRule="auto"/>
        <w:ind w:left="1418" w:hanging="709"/>
        <w:contextualSpacing w:val="0"/>
        <w:jc w:val="both"/>
        <w:rPr>
          <w:rFonts w:cs="Arial"/>
          <w:szCs w:val="24"/>
        </w:rPr>
      </w:pPr>
      <w:r w:rsidRPr="005501A9">
        <w:rPr>
          <w:rFonts w:cs="Arial"/>
          <w:szCs w:val="24"/>
        </w:rPr>
        <w:t xml:space="preserve">are under-represented in the organisation, or whose participation in the organisation is disproportionately low, because of their sex </w:t>
      </w:r>
      <w:r w:rsidRPr="005501A9">
        <w:rPr>
          <w:rFonts w:cs="Arial"/>
          <w:szCs w:val="24"/>
          <w:u w:val="single"/>
        </w:rPr>
        <w:t>and/or</w:t>
      </w:r>
    </w:p>
    <w:p w14:paraId="4D18E6B2" w14:textId="77777777" w:rsidR="000D058B" w:rsidRPr="005501A9" w:rsidRDefault="000D058B" w:rsidP="00E8614F">
      <w:pPr>
        <w:pStyle w:val="ListParagraph"/>
        <w:numPr>
          <w:ilvl w:val="0"/>
          <w:numId w:val="21"/>
        </w:numPr>
        <w:spacing w:line="276" w:lineRule="auto"/>
        <w:ind w:left="1418" w:hanging="709"/>
        <w:contextualSpacing w:val="0"/>
        <w:jc w:val="both"/>
        <w:rPr>
          <w:rFonts w:cs="Arial"/>
          <w:szCs w:val="24"/>
        </w:rPr>
      </w:pPr>
      <w:r w:rsidRPr="005501A9">
        <w:rPr>
          <w:rFonts w:cs="Arial"/>
          <w:szCs w:val="24"/>
        </w:rPr>
        <w:t>have specific needs connected to their sex.</w:t>
      </w:r>
    </w:p>
    <w:p w14:paraId="4F572B21" w14:textId="77777777" w:rsidR="005A5A2E" w:rsidRDefault="005A5A2E" w:rsidP="005A5A2E">
      <w:pPr>
        <w:pStyle w:val="ELC-ParaTitle"/>
        <w:numPr>
          <w:ilvl w:val="0"/>
          <w:numId w:val="0"/>
        </w:numPr>
        <w:tabs>
          <w:tab w:val="clear" w:pos="680"/>
        </w:tabs>
        <w:ind w:left="720"/>
        <w:jc w:val="both"/>
        <w:rPr>
          <w:rFonts w:cs="Arial"/>
        </w:rPr>
      </w:pPr>
    </w:p>
    <w:p w14:paraId="5E1E837A" w14:textId="77777777" w:rsidR="00EA0713" w:rsidRDefault="00EA0713" w:rsidP="00EA0713">
      <w:pPr>
        <w:pStyle w:val="ELC-ParaTitle"/>
        <w:tabs>
          <w:tab w:val="clear" w:pos="420"/>
          <w:tab w:val="clear" w:pos="680"/>
        </w:tabs>
        <w:ind w:left="720" w:hanging="720"/>
        <w:jc w:val="both"/>
        <w:rPr>
          <w:rFonts w:cs="Arial"/>
        </w:rPr>
      </w:pPr>
      <w:r>
        <w:rPr>
          <w:rFonts w:cs="Arial"/>
        </w:rPr>
        <w:t>POLICY IMPLICATIONS</w:t>
      </w:r>
    </w:p>
    <w:p w14:paraId="53A6CE23" w14:textId="77777777" w:rsidR="00EA0713" w:rsidRPr="008412EE" w:rsidRDefault="00E8614F" w:rsidP="00E8614F">
      <w:pPr>
        <w:pStyle w:val="ELC-ParaTitle"/>
        <w:numPr>
          <w:ilvl w:val="0"/>
          <w:numId w:val="0"/>
        </w:numPr>
        <w:tabs>
          <w:tab w:val="clear" w:pos="680"/>
        </w:tabs>
        <w:ind w:left="720" w:hanging="720"/>
        <w:jc w:val="both"/>
        <w:rPr>
          <w:b w:val="0"/>
        </w:rPr>
      </w:pPr>
      <w:r>
        <w:rPr>
          <w:b w:val="0"/>
        </w:rPr>
        <w:t>4.1</w:t>
      </w:r>
      <w:r>
        <w:rPr>
          <w:b w:val="0"/>
        </w:rPr>
        <w:tab/>
      </w:r>
      <w:r w:rsidR="00EA0713" w:rsidRPr="002F03C6">
        <w:rPr>
          <w:b w:val="0"/>
        </w:rPr>
        <w:t>East Lothian Council will continue to monitor policies and practices to address any potential</w:t>
      </w:r>
      <w:r w:rsidR="002420D7">
        <w:rPr>
          <w:b w:val="0"/>
        </w:rPr>
        <w:t xml:space="preserve"> gender pay related</w:t>
      </w:r>
      <w:r w:rsidR="00EA0713" w:rsidRPr="002F03C6">
        <w:rPr>
          <w:b w:val="0"/>
        </w:rPr>
        <w:t xml:space="preserve"> issues that arise.  </w:t>
      </w:r>
    </w:p>
    <w:p w14:paraId="413F075B" w14:textId="77777777" w:rsidR="00EA0713" w:rsidRDefault="00EA0713" w:rsidP="00EA0713">
      <w:pPr>
        <w:pStyle w:val="ELC-ParaTitle"/>
        <w:numPr>
          <w:ilvl w:val="0"/>
          <w:numId w:val="0"/>
        </w:numPr>
        <w:tabs>
          <w:tab w:val="clear" w:pos="680"/>
        </w:tabs>
        <w:ind w:left="420" w:hanging="420"/>
        <w:jc w:val="both"/>
        <w:rPr>
          <w:rFonts w:cs="Arial"/>
        </w:rPr>
      </w:pPr>
    </w:p>
    <w:p w14:paraId="2A0A0474" w14:textId="77777777" w:rsidR="00EA0713" w:rsidRDefault="00EA0713" w:rsidP="005A5A2E">
      <w:pPr>
        <w:pStyle w:val="ELC-ParaTitle"/>
      </w:pPr>
      <w:r>
        <w:tab/>
        <w:t>INTEGRATED IMPACT ASSESSMENT</w:t>
      </w:r>
    </w:p>
    <w:p w14:paraId="5D599A2D" w14:textId="77777777" w:rsidR="00EA0713" w:rsidRPr="008412EE" w:rsidRDefault="00E8614F" w:rsidP="00E8614F">
      <w:pPr>
        <w:pStyle w:val="ELC-ParaTitle"/>
        <w:numPr>
          <w:ilvl w:val="0"/>
          <w:numId w:val="0"/>
        </w:numPr>
        <w:tabs>
          <w:tab w:val="clear" w:pos="680"/>
        </w:tabs>
        <w:ind w:left="720" w:hanging="720"/>
        <w:jc w:val="both"/>
        <w:rPr>
          <w:b w:val="0"/>
          <w:lang w:eastAsia="en-GB"/>
        </w:rPr>
      </w:pPr>
      <w:r>
        <w:rPr>
          <w:b w:val="0"/>
          <w:lang w:eastAsia="en-GB"/>
        </w:rPr>
        <w:t>5.1</w:t>
      </w:r>
      <w:r>
        <w:rPr>
          <w:b w:val="0"/>
          <w:lang w:eastAsia="en-GB"/>
        </w:rPr>
        <w:tab/>
      </w:r>
      <w:r w:rsidR="00EA0713">
        <w:rPr>
          <w:b w:val="0"/>
          <w:lang w:eastAsia="en-GB"/>
        </w:rPr>
        <w:t>The subject of this report does not affect the wellbeing of the community or have a significant impact on equality, the environment or economy</w:t>
      </w:r>
      <w:r>
        <w:rPr>
          <w:b w:val="0"/>
          <w:lang w:eastAsia="en-GB"/>
        </w:rPr>
        <w:t>.</w:t>
      </w:r>
    </w:p>
    <w:p w14:paraId="517C877D" w14:textId="77777777" w:rsidR="00EA0713" w:rsidRDefault="00272535" w:rsidP="00272535">
      <w:pPr>
        <w:pStyle w:val="ELC-ParaTitle"/>
        <w:numPr>
          <w:ilvl w:val="0"/>
          <w:numId w:val="0"/>
        </w:numPr>
        <w:tabs>
          <w:tab w:val="clear" w:pos="680"/>
          <w:tab w:val="left" w:pos="9313"/>
        </w:tabs>
        <w:jc w:val="both"/>
        <w:rPr>
          <w:rFonts w:cs="Arial"/>
        </w:rPr>
      </w:pPr>
      <w:r>
        <w:rPr>
          <w:rFonts w:cs="Arial"/>
        </w:rPr>
        <w:tab/>
      </w:r>
    </w:p>
    <w:p w14:paraId="3166A9C4" w14:textId="77777777" w:rsidR="00EA0713" w:rsidRDefault="00EA0713" w:rsidP="00EA0713">
      <w:pPr>
        <w:pStyle w:val="ELC-ParaTitle"/>
        <w:tabs>
          <w:tab w:val="clear" w:pos="420"/>
          <w:tab w:val="clear" w:pos="680"/>
        </w:tabs>
        <w:ind w:left="720" w:hanging="720"/>
        <w:jc w:val="both"/>
        <w:rPr>
          <w:rFonts w:cs="Arial"/>
        </w:rPr>
      </w:pPr>
      <w:r>
        <w:rPr>
          <w:rFonts w:cs="Arial"/>
        </w:rPr>
        <w:t>RESOURCE IMPLICATIONS</w:t>
      </w:r>
    </w:p>
    <w:p w14:paraId="4A8B987F" w14:textId="77777777" w:rsidR="00EA0713" w:rsidRDefault="00EA0713" w:rsidP="00EA0713">
      <w:pPr>
        <w:pStyle w:val="ELC-ParaTitle2"/>
        <w:tabs>
          <w:tab w:val="clear" w:pos="420"/>
          <w:tab w:val="clear" w:pos="680"/>
        </w:tabs>
        <w:ind w:left="720" w:hanging="720"/>
        <w:jc w:val="both"/>
        <w:rPr>
          <w:rFonts w:cs="Arial"/>
        </w:rPr>
      </w:pPr>
      <w:r>
        <w:rPr>
          <w:rFonts w:cs="Arial"/>
        </w:rPr>
        <w:t>Financial - None</w:t>
      </w:r>
    </w:p>
    <w:p w14:paraId="6866273C" w14:textId="536F1927" w:rsidR="00EA0713" w:rsidRDefault="00E92D10" w:rsidP="00EA0713">
      <w:pPr>
        <w:pStyle w:val="ELC-ParaTitle2"/>
        <w:tabs>
          <w:tab w:val="clear" w:pos="420"/>
          <w:tab w:val="clear" w:pos="680"/>
        </w:tabs>
        <w:ind w:left="720" w:hanging="720"/>
        <w:jc w:val="both"/>
        <w:rPr>
          <w:rFonts w:cs="Arial"/>
        </w:rPr>
      </w:pPr>
      <w:r>
        <w:rPr>
          <w:rFonts w:cs="Arial"/>
        </w:rPr>
        <w:t xml:space="preserve">Human </w:t>
      </w:r>
      <w:proofErr w:type="gramStart"/>
      <w:r>
        <w:rPr>
          <w:rFonts w:cs="Arial"/>
        </w:rPr>
        <w:t>Resources</w:t>
      </w:r>
      <w:r w:rsidR="00EA0713">
        <w:rPr>
          <w:rFonts w:cs="Arial"/>
        </w:rPr>
        <w:t xml:space="preserve">  -</w:t>
      </w:r>
      <w:proofErr w:type="gramEnd"/>
      <w:r w:rsidR="00EA0713">
        <w:rPr>
          <w:rFonts w:cs="Arial"/>
        </w:rPr>
        <w:t xml:space="preserve"> None</w:t>
      </w:r>
    </w:p>
    <w:p w14:paraId="31FC269A" w14:textId="77777777" w:rsidR="00EA0713" w:rsidRDefault="00EA0713" w:rsidP="00EA0713">
      <w:pPr>
        <w:pStyle w:val="ELC-ParaTitle2"/>
        <w:tabs>
          <w:tab w:val="clear" w:pos="420"/>
          <w:tab w:val="clear" w:pos="680"/>
        </w:tabs>
        <w:ind w:left="720" w:hanging="720"/>
        <w:jc w:val="both"/>
        <w:rPr>
          <w:rFonts w:cs="Arial"/>
        </w:rPr>
      </w:pPr>
      <w:r>
        <w:rPr>
          <w:rFonts w:cs="Arial"/>
        </w:rPr>
        <w:t>Other - None</w:t>
      </w:r>
    </w:p>
    <w:p w14:paraId="0D488160" w14:textId="77777777" w:rsidR="00E8614F" w:rsidRDefault="00E8614F" w:rsidP="00EA0713">
      <w:pPr>
        <w:pStyle w:val="ELC-ParaTitle"/>
        <w:numPr>
          <w:ilvl w:val="0"/>
          <w:numId w:val="0"/>
        </w:numPr>
        <w:tabs>
          <w:tab w:val="clear" w:pos="680"/>
        </w:tabs>
        <w:ind w:left="720" w:hanging="720"/>
        <w:jc w:val="both"/>
        <w:rPr>
          <w:rFonts w:cs="Arial"/>
        </w:rPr>
      </w:pPr>
    </w:p>
    <w:p w14:paraId="3198021D" w14:textId="77777777" w:rsidR="00EA0713" w:rsidRDefault="00EA0713" w:rsidP="00EA0713">
      <w:pPr>
        <w:pStyle w:val="ELC-ParaTitle"/>
        <w:tabs>
          <w:tab w:val="clear" w:pos="420"/>
          <w:tab w:val="clear" w:pos="680"/>
        </w:tabs>
        <w:ind w:left="720" w:hanging="720"/>
        <w:jc w:val="both"/>
        <w:rPr>
          <w:rFonts w:cs="Arial"/>
        </w:rPr>
      </w:pPr>
      <w:r>
        <w:rPr>
          <w:rFonts w:cs="Arial"/>
        </w:rPr>
        <w:t xml:space="preserve">BACKGROUND PAPERS </w:t>
      </w:r>
    </w:p>
    <w:p w14:paraId="2F95DBE4" w14:textId="7B59EF18" w:rsidR="00EA0713" w:rsidRDefault="007957D0" w:rsidP="00EA0713">
      <w:pPr>
        <w:pStyle w:val="ELC-ParaTitle2"/>
        <w:tabs>
          <w:tab w:val="clear" w:pos="420"/>
          <w:tab w:val="clear" w:pos="680"/>
        </w:tabs>
        <w:ind w:left="720" w:hanging="720"/>
        <w:jc w:val="both"/>
        <w:rPr>
          <w:rFonts w:cs="Arial"/>
        </w:rPr>
      </w:pPr>
      <w:r>
        <w:rPr>
          <w:rFonts w:cs="Arial"/>
        </w:rPr>
        <w:t>Appendix 1: Ethnicity Pay Gap</w:t>
      </w:r>
    </w:p>
    <w:p w14:paraId="75EE3907" w14:textId="3FCBEC21" w:rsidR="007957D0" w:rsidRDefault="007957D0" w:rsidP="00EA0713">
      <w:pPr>
        <w:pStyle w:val="ELC-ParaTitle2"/>
        <w:tabs>
          <w:tab w:val="clear" w:pos="420"/>
          <w:tab w:val="clear" w:pos="680"/>
        </w:tabs>
        <w:ind w:left="720" w:hanging="720"/>
        <w:jc w:val="both"/>
        <w:rPr>
          <w:rFonts w:cs="Arial"/>
        </w:rPr>
      </w:pPr>
      <w:r>
        <w:rPr>
          <w:rFonts w:cs="Arial"/>
        </w:rPr>
        <w:t>Appendix 2 Disability Pay Gap</w:t>
      </w:r>
    </w:p>
    <w:p w14:paraId="23218D00" w14:textId="77777777" w:rsidR="00EA0713" w:rsidRDefault="00EA0713" w:rsidP="00EA0713">
      <w:pPr>
        <w:pStyle w:val="ELC-ParaTitle"/>
        <w:numPr>
          <w:ilvl w:val="0"/>
          <w:numId w:val="0"/>
        </w:numPr>
        <w:tabs>
          <w:tab w:val="clear" w:pos="680"/>
        </w:tabs>
        <w:ind w:left="720" w:hanging="720"/>
        <w:jc w:val="both"/>
        <w:rPr>
          <w:rFonts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521"/>
      </w:tblGrid>
      <w:tr w:rsidR="00EA0713" w14:paraId="559BD3E5" w14:textId="77777777" w:rsidTr="00A728FE">
        <w:tc>
          <w:tcPr>
            <w:tcW w:w="2376" w:type="dxa"/>
          </w:tcPr>
          <w:p w14:paraId="592B044D" w14:textId="77777777" w:rsidR="00EA0713" w:rsidRDefault="00EA0713" w:rsidP="00A728FE">
            <w:pPr>
              <w:pStyle w:val="ELC-ParaTitle"/>
              <w:numPr>
                <w:ilvl w:val="0"/>
                <w:numId w:val="0"/>
              </w:numPr>
              <w:jc w:val="both"/>
              <w:rPr>
                <w:rFonts w:cs="Arial"/>
                <w:caps/>
              </w:rPr>
            </w:pPr>
            <w:r>
              <w:rPr>
                <w:rFonts w:cs="Arial"/>
              </w:rPr>
              <w:br w:type="page"/>
            </w:r>
            <w:r>
              <w:rPr>
                <w:rFonts w:cs="Arial"/>
                <w:caps/>
              </w:rPr>
              <w:t>Author’s Name</w:t>
            </w:r>
          </w:p>
        </w:tc>
        <w:tc>
          <w:tcPr>
            <w:tcW w:w="6521" w:type="dxa"/>
          </w:tcPr>
          <w:p w14:paraId="6250ECDD" w14:textId="1531B54E" w:rsidR="00EA0713" w:rsidRPr="0059264C" w:rsidRDefault="00D921E6" w:rsidP="00594E72">
            <w:pPr>
              <w:pStyle w:val="ELC-ParaTitle"/>
              <w:numPr>
                <w:ilvl w:val="0"/>
                <w:numId w:val="0"/>
              </w:numPr>
              <w:spacing w:after="0"/>
              <w:jc w:val="both"/>
              <w:rPr>
                <w:rFonts w:cs="Arial"/>
                <w:b w:val="0"/>
                <w:bCs/>
                <w:szCs w:val="24"/>
              </w:rPr>
            </w:pPr>
            <w:r>
              <w:rPr>
                <w:rFonts w:cs="Arial"/>
                <w:b w:val="0"/>
                <w:bCs/>
                <w:szCs w:val="24"/>
              </w:rPr>
              <w:t>J Beedie</w:t>
            </w:r>
            <w:r w:rsidR="00F1593E">
              <w:rPr>
                <w:rFonts w:cs="Arial"/>
                <w:b w:val="0"/>
                <w:bCs/>
                <w:szCs w:val="24"/>
              </w:rPr>
              <w:t>/ W McNeish</w:t>
            </w:r>
          </w:p>
        </w:tc>
      </w:tr>
      <w:tr w:rsidR="00EA0713" w14:paraId="13B59633" w14:textId="77777777" w:rsidTr="00A728FE">
        <w:tc>
          <w:tcPr>
            <w:tcW w:w="2376" w:type="dxa"/>
          </w:tcPr>
          <w:p w14:paraId="561CCA76" w14:textId="77777777" w:rsidR="00EA0713" w:rsidRDefault="00EA0713" w:rsidP="00A728FE">
            <w:pPr>
              <w:pStyle w:val="ELC-ParaTitle"/>
              <w:numPr>
                <w:ilvl w:val="0"/>
                <w:numId w:val="0"/>
              </w:numPr>
              <w:jc w:val="both"/>
              <w:rPr>
                <w:rFonts w:cs="Arial"/>
              </w:rPr>
            </w:pPr>
            <w:r>
              <w:rPr>
                <w:rFonts w:cs="Arial"/>
              </w:rPr>
              <w:t>DESIGNATION</w:t>
            </w:r>
          </w:p>
        </w:tc>
        <w:tc>
          <w:tcPr>
            <w:tcW w:w="6521" w:type="dxa"/>
          </w:tcPr>
          <w:p w14:paraId="298FFBA4" w14:textId="77777777" w:rsidR="00EA0713" w:rsidRDefault="00EA0713" w:rsidP="00A728FE">
            <w:pPr>
              <w:pStyle w:val="ELC-ParaTitle"/>
              <w:numPr>
                <w:ilvl w:val="0"/>
                <w:numId w:val="0"/>
              </w:numPr>
              <w:jc w:val="both"/>
              <w:rPr>
                <w:rFonts w:cs="Arial"/>
                <w:b w:val="0"/>
                <w:bCs/>
              </w:rPr>
            </w:pPr>
            <w:r>
              <w:rPr>
                <w:rFonts w:cs="Arial"/>
                <w:b w:val="0"/>
                <w:bCs/>
                <w:szCs w:val="24"/>
              </w:rPr>
              <w:t>Human Resources</w:t>
            </w:r>
            <w:r>
              <w:rPr>
                <w:rFonts w:cs="Arial"/>
                <w:b w:val="0"/>
                <w:bCs/>
              </w:rPr>
              <w:t xml:space="preserve"> </w:t>
            </w:r>
            <w:r>
              <w:rPr>
                <w:rFonts w:cs="Arial"/>
                <w:b w:val="0"/>
                <w:bCs/>
              </w:rPr>
              <w:fldChar w:fldCharType="begin"/>
            </w:r>
            <w:r>
              <w:rPr>
                <w:rFonts w:cs="Arial"/>
                <w:b w:val="0"/>
                <w:bCs/>
              </w:rPr>
              <w:instrText xml:space="preserve"> DOCPROPERTY "Designation"  \* MERGEFORMAT </w:instrText>
            </w:r>
            <w:r>
              <w:rPr>
                <w:rFonts w:cs="Arial"/>
                <w:b w:val="0"/>
                <w:bCs/>
              </w:rPr>
              <w:fldChar w:fldCharType="end"/>
            </w:r>
          </w:p>
        </w:tc>
      </w:tr>
      <w:tr w:rsidR="00EA0713" w14:paraId="795FE0DB" w14:textId="77777777" w:rsidTr="00A728FE">
        <w:tc>
          <w:tcPr>
            <w:tcW w:w="2376" w:type="dxa"/>
          </w:tcPr>
          <w:p w14:paraId="384FF147" w14:textId="77777777" w:rsidR="00EA0713" w:rsidRDefault="00EA0713" w:rsidP="00A728FE">
            <w:pPr>
              <w:pStyle w:val="ELC-ParaTitle"/>
              <w:numPr>
                <w:ilvl w:val="0"/>
                <w:numId w:val="0"/>
              </w:numPr>
              <w:jc w:val="both"/>
              <w:rPr>
                <w:rFonts w:cs="Arial"/>
              </w:rPr>
            </w:pPr>
            <w:r>
              <w:rPr>
                <w:rFonts w:cs="Arial"/>
              </w:rPr>
              <w:t>CONTACT INFO</w:t>
            </w:r>
          </w:p>
        </w:tc>
        <w:tc>
          <w:tcPr>
            <w:tcW w:w="6521" w:type="dxa"/>
          </w:tcPr>
          <w:p w14:paraId="6DE806F5" w14:textId="70BA0322" w:rsidR="00EA0713" w:rsidRPr="0059264C" w:rsidRDefault="00D921E6" w:rsidP="00594E72">
            <w:pPr>
              <w:pStyle w:val="ELC-ParaTitle"/>
              <w:numPr>
                <w:ilvl w:val="0"/>
                <w:numId w:val="0"/>
              </w:numPr>
              <w:spacing w:after="0"/>
              <w:jc w:val="both"/>
              <w:rPr>
                <w:rFonts w:cs="Arial"/>
                <w:b w:val="0"/>
                <w:bCs/>
                <w:szCs w:val="24"/>
              </w:rPr>
            </w:pPr>
            <w:r>
              <w:rPr>
                <w:rFonts w:cs="Arial"/>
                <w:b w:val="0"/>
                <w:bCs/>
                <w:szCs w:val="24"/>
              </w:rPr>
              <w:t>01620 827868</w:t>
            </w:r>
            <w:r w:rsidR="00F1593E">
              <w:rPr>
                <w:rFonts w:cs="Arial"/>
                <w:b w:val="0"/>
                <w:bCs/>
                <w:szCs w:val="24"/>
              </w:rPr>
              <w:t xml:space="preserve"> / 01620 827561</w:t>
            </w:r>
          </w:p>
        </w:tc>
      </w:tr>
      <w:tr w:rsidR="00EA0713" w14:paraId="35CC3BB6" w14:textId="77777777" w:rsidTr="00A728FE">
        <w:tc>
          <w:tcPr>
            <w:tcW w:w="2376" w:type="dxa"/>
          </w:tcPr>
          <w:p w14:paraId="6E423B80" w14:textId="77777777" w:rsidR="00EA0713" w:rsidRDefault="00EA0713" w:rsidP="00A728FE">
            <w:pPr>
              <w:pStyle w:val="ELC-ParaTitle"/>
              <w:numPr>
                <w:ilvl w:val="0"/>
                <w:numId w:val="0"/>
              </w:numPr>
              <w:jc w:val="both"/>
              <w:rPr>
                <w:rFonts w:cs="Arial"/>
              </w:rPr>
            </w:pPr>
            <w:r>
              <w:rPr>
                <w:rFonts w:cs="Arial"/>
              </w:rPr>
              <w:t>DATE</w:t>
            </w:r>
          </w:p>
        </w:tc>
        <w:tc>
          <w:tcPr>
            <w:tcW w:w="6521" w:type="dxa"/>
          </w:tcPr>
          <w:p w14:paraId="7DF186C5" w14:textId="65BC0BD6" w:rsidR="00EA0713" w:rsidRDefault="00E30602" w:rsidP="00A728FE">
            <w:pPr>
              <w:pStyle w:val="ELC-ParaTitle"/>
              <w:numPr>
                <w:ilvl w:val="0"/>
                <w:numId w:val="0"/>
              </w:numPr>
              <w:jc w:val="both"/>
              <w:rPr>
                <w:rFonts w:cs="Arial"/>
                <w:b w:val="0"/>
                <w:bCs/>
              </w:rPr>
            </w:pPr>
            <w:r>
              <w:rPr>
                <w:rFonts w:cs="Arial"/>
                <w:b w:val="0"/>
                <w:bCs/>
              </w:rPr>
              <w:t>28/11/2024</w:t>
            </w:r>
          </w:p>
        </w:tc>
      </w:tr>
    </w:tbl>
    <w:p w14:paraId="133DDC18" w14:textId="77777777" w:rsidR="007957D0" w:rsidRDefault="007957D0" w:rsidP="007957D0">
      <w:pPr>
        <w:rPr>
          <w:rFonts w:cs="Arial"/>
          <w:b/>
          <w:bCs/>
          <w:szCs w:val="24"/>
        </w:rPr>
      </w:pPr>
    </w:p>
    <w:p w14:paraId="4670C5E5" w14:textId="77777777" w:rsidR="007957D0" w:rsidRDefault="007957D0" w:rsidP="007957D0">
      <w:pPr>
        <w:rPr>
          <w:rFonts w:cs="Arial"/>
          <w:b/>
          <w:bCs/>
          <w:szCs w:val="24"/>
        </w:rPr>
      </w:pPr>
    </w:p>
    <w:p w14:paraId="501595D7" w14:textId="47313951" w:rsidR="007957D0" w:rsidRDefault="007957D0" w:rsidP="007957D0">
      <w:pPr>
        <w:rPr>
          <w:rFonts w:cs="Arial"/>
          <w:b/>
          <w:bCs/>
          <w:szCs w:val="24"/>
        </w:rPr>
      </w:pPr>
      <w:r w:rsidRPr="00A3718D">
        <w:rPr>
          <w:rFonts w:cs="Arial"/>
          <w:b/>
          <w:bCs/>
          <w:szCs w:val="24"/>
        </w:rPr>
        <w:t>Appendix 1 Ethnicity pay gap</w:t>
      </w:r>
    </w:p>
    <w:p w14:paraId="08B9179F" w14:textId="77777777" w:rsidR="007957D0" w:rsidRPr="00A3718D" w:rsidRDefault="007957D0" w:rsidP="007957D0">
      <w:pPr>
        <w:rPr>
          <w:rFonts w:cs="Arial"/>
          <w:b/>
          <w:bCs/>
          <w:szCs w:val="24"/>
        </w:rPr>
      </w:pPr>
    </w:p>
    <w:p w14:paraId="67223A49" w14:textId="77777777" w:rsidR="007957D0" w:rsidRPr="00A3718D" w:rsidRDefault="007957D0" w:rsidP="007957D0">
      <w:pPr>
        <w:rPr>
          <w:rFonts w:cs="Arial"/>
          <w:szCs w:val="24"/>
        </w:rPr>
      </w:pPr>
      <w:r w:rsidRPr="00A3718D">
        <w:rPr>
          <w:rFonts w:cs="Arial"/>
          <w:szCs w:val="24"/>
        </w:rPr>
        <w:t>The ethnic background of East Lothian Council employees at the snapshot date of 31</w:t>
      </w:r>
      <w:r w:rsidRPr="00A3718D">
        <w:rPr>
          <w:rFonts w:cs="Arial"/>
          <w:szCs w:val="24"/>
          <w:vertAlign w:val="superscript"/>
        </w:rPr>
        <w:t>st</w:t>
      </w:r>
      <w:r w:rsidRPr="00A3718D">
        <w:rPr>
          <w:rFonts w:cs="Arial"/>
          <w:szCs w:val="24"/>
        </w:rPr>
        <w:t xml:space="preserve"> March 2024 was as follows:  </w:t>
      </w:r>
    </w:p>
    <w:tbl>
      <w:tblPr>
        <w:tblStyle w:val="TableGrid"/>
        <w:tblW w:w="0" w:type="auto"/>
        <w:tblLook w:val="04A0" w:firstRow="1" w:lastRow="0" w:firstColumn="1" w:lastColumn="0" w:noHBand="0" w:noVBand="1"/>
      </w:tblPr>
      <w:tblGrid>
        <w:gridCol w:w="3005"/>
        <w:gridCol w:w="3005"/>
        <w:gridCol w:w="3006"/>
      </w:tblGrid>
      <w:tr w:rsidR="007957D0" w:rsidRPr="00A3718D" w14:paraId="2691B66F" w14:textId="77777777" w:rsidTr="00F91D0D">
        <w:tc>
          <w:tcPr>
            <w:tcW w:w="3005" w:type="dxa"/>
            <w:shd w:val="clear" w:color="auto" w:fill="D9D9D9" w:themeFill="background1" w:themeFillShade="D9"/>
          </w:tcPr>
          <w:p w14:paraId="2722F2EA" w14:textId="77777777" w:rsidR="007957D0" w:rsidRPr="00A3718D" w:rsidRDefault="007957D0" w:rsidP="00F91D0D">
            <w:pPr>
              <w:rPr>
                <w:rFonts w:cs="Arial"/>
                <w:b/>
                <w:bCs/>
                <w:szCs w:val="24"/>
              </w:rPr>
            </w:pPr>
            <w:r w:rsidRPr="00A3718D">
              <w:rPr>
                <w:rFonts w:cs="Arial"/>
                <w:b/>
                <w:bCs/>
                <w:szCs w:val="24"/>
              </w:rPr>
              <w:t>Ethnic Group</w:t>
            </w:r>
          </w:p>
        </w:tc>
        <w:tc>
          <w:tcPr>
            <w:tcW w:w="3005" w:type="dxa"/>
            <w:shd w:val="clear" w:color="auto" w:fill="D9D9D9" w:themeFill="background1" w:themeFillShade="D9"/>
          </w:tcPr>
          <w:p w14:paraId="02CDC02C" w14:textId="77777777" w:rsidR="007957D0" w:rsidRPr="00A3718D" w:rsidRDefault="007957D0" w:rsidP="00F91D0D">
            <w:pPr>
              <w:rPr>
                <w:rFonts w:cs="Arial"/>
                <w:b/>
                <w:bCs/>
                <w:szCs w:val="24"/>
              </w:rPr>
            </w:pPr>
            <w:r w:rsidRPr="00A3718D">
              <w:rPr>
                <w:rFonts w:cs="Arial"/>
                <w:b/>
                <w:bCs/>
                <w:szCs w:val="24"/>
              </w:rPr>
              <w:t>Headcount</w:t>
            </w:r>
          </w:p>
        </w:tc>
        <w:tc>
          <w:tcPr>
            <w:tcW w:w="3006" w:type="dxa"/>
            <w:shd w:val="clear" w:color="auto" w:fill="D9D9D9" w:themeFill="background1" w:themeFillShade="D9"/>
          </w:tcPr>
          <w:p w14:paraId="2A51FE33" w14:textId="77777777" w:rsidR="007957D0" w:rsidRPr="00A3718D" w:rsidRDefault="007957D0" w:rsidP="00F91D0D">
            <w:pPr>
              <w:rPr>
                <w:rFonts w:cs="Arial"/>
                <w:b/>
                <w:bCs/>
                <w:szCs w:val="24"/>
              </w:rPr>
            </w:pPr>
            <w:r w:rsidRPr="00A3718D">
              <w:rPr>
                <w:rFonts w:cs="Arial"/>
                <w:b/>
                <w:bCs/>
                <w:szCs w:val="24"/>
              </w:rPr>
              <w:t>% of Total</w:t>
            </w:r>
          </w:p>
        </w:tc>
      </w:tr>
      <w:tr w:rsidR="007957D0" w:rsidRPr="00A3718D" w14:paraId="71BF2521" w14:textId="77777777" w:rsidTr="00F91D0D">
        <w:tc>
          <w:tcPr>
            <w:tcW w:w="3005" w:type="dxa"/>
          </w:tcPr>
          <w:p w14:paraId="3F108AE1" w14:textId="77777777" w:rsidR="007957D0" w:rsidRPr="00A3718D" w:rsidRDefault="007957D0" w:rsidP="00F91D0D">
            <w:pPr>
              <w:rPr>
                <w:rFonts w:cs="Arial"/>
                <w:szCs w:val="24"/>
              </w:rPr>
            </w:pPr>
            <w:r w:rsidRPr="00A3718D">
              <w:rPr>
                <w:rFonts w:cs="Arial"/>
                <w:szCs w:val="24"/>
              </w:rPr>
              <w:t>Not Known</w:t>
            </w:r>
          </w:p>
        </w:tc>
        <w:tc>
          <w:tcPr>
            <w:tcW w:w="3005" w:type="dxa"/>
          </w:tcPr>
          <w:p w14:paraId="78ACA94F" w14:textId="77777777" w:rsidR="007957D0" w:rsidRPr="00A3718D" w:rsidRDefault="007957D0" w:rsidP="00F91D0D">
            <w:pPr>
              <w:rPr>
                <w:rFonts w:cs="Arial"/>
                <w:szCs w:val="24"/>
              </w:rPr>
            </w:pPr>
            <w:r w:rsidRPr="00A3718D">
              <w:rPr>
                <w:rFonts w:cs="Arial"/>
                <w:szCs w:val="24"/>
              </w:rPr>
              <w:t>703</w:t>
            </w:r>
          </w:p>
        </w:tc>
        <w:tc>
          <w:tcPr>
            <w:tcW w:w="3006" w:type="dxa"/>
          </w:tcPr>
          <w:p w14:paraId="12E83828" w14:textId="77777777" w:rsidR="007957D0" w:rsidRPr="00A3718D" w:rsidRDefault="007957D0" w:rsidP="00F91D0D">
            <w:pPr>
              <w:rPr>
                <w:rFonts w:cs="Arial"/>
                <w:szCs w:val="24"/>
              </w:rPr>
            </w:pPr>
            <w:r w:rsidRPr="00A3718D">
              <w:rPr>
                <w:rFonts w:cs="Arial"/>
                <w:szCs w:val="24"/>
              </w:rPr>
              <w:t>14.63</w:t>
            </w:r>
          </w:p>
        </w:tc>
      </w:tr>
      <w:tr w:rsidR="007957D0" w:rsidRPr="00A3718D" w14:paraId="2B02D3E9" w14:textId="77777777" w:rsidTr="00F91D0D">
        <w:tc>
          <w:tcPr>
            <w:tcW w:w="3005" w:type="dxa"/>
          </w:tcPr>
          <w:p w14:paraId="4D005195" w14:textId="77777777" w:rsidR="007957D0" w:rsidRPr="00A3718D" w:rsidRDefault="007957D0" w:rsidP="00F91D0D">
            <w:pPr>
              <w:rPr>
                <w:rFonts w:cs="Arial"/>
                <w:szCs w:val="24"/>
              </w:rPr>
            </w:pPr>
            <w:r w:rsidRPr="00A3718D">
              <w:rPr>
                <w:rFonts w:cs="Arial"/>
                <w:szCs w:val="24"/>
              </w:rPr>
              <w:t>Minority Ethnic</w:t>
            </w:r>
          </w:p>
        </w:tc>
        <w:tc>
          <w:tcPr>
            <w:tcW w:w="3005" w:type="dxa"/>
          </w:tcPr>
          <w:p w14:paraId="20469EDE" w14:textId="77777777" w:rsidR="007957D0" w:rsidRPr="00A3718D" w:rsidRDefault="007957D0" w:rsidP="00F91D0D">
            <w:pPr>
              <w:rPr>
                <w:rFonts w:cs="Arial"/>
                <w:szCs w:val="24"/>
              </w:rPr>
            </w:pPr>
            <w:r w:rsidRPr="00A3718D">
              <w:rPr>
                <w:rFonts w:cs="Arial"/>
                <w:szCs w:val="24"/>
              </w:rPr>
              <w:t>64</w:t>
            </w:r>
          </w:p>
        </w:tc>
        <w:tc>
          <w:tcPr>
            <w:tcW w:w="3006" w:type="dxa"/>
          </w:tcPr>
          <w:p w14:paraId="5049670A" w14:textId="77777777" w:rsidR="007957D0" w:rsidRPr="00A3718D" w:rsidRDefault="007957D0" w:rsidP="00F91D0D">
            <w:pPr>
              <w:rPr>
                <w:rFonts w:cs="Arial"/>
                <w:szCs w:val="24"/>
              </w:rPr>
            </w:pPr>
            <w:r w:rsidRPr="00A3718D">
              <w:rPr>
                <w:rFonts w:cs="Arial"/>
                <w:szCs w:val="24"/>
              </w:rPr>
              <w:t>1.33</w:t>
            </w:r>
          </w:p>
        </w:tc>
      </w:tr>
      <w:tr w:rsidR="007957D0" w:rsidRPr="00A3718D" w14:paraId="53B0B27F" w14:textId="77777777" w:rsidTr="00F91D0D">
        <w:tc>
          <w:tcPr>
            <w:tcW w:w="3005" w:type="dxa"/>
          </w:tcPr>
          <w:p w14:paraId="26884CFD" w14:textId="77777777" w:rsidR="007957D0" w:rsidRPr="00A3718D" w:rsidRDefault="007957D0" w:rsidP="00F91D0D">
            <w:pPr>
              <w:rPr>
                <w:rFonts w:cs="Arial"/>
                <w:szCs w:val="24"/>
              </w:rPr>
            </w:pPr>
            <w:r w:rsidRPr="00A3718D">
              <w:rPr>
                <w:rFonts w:cs="Arial"/>
                <w:szCs w:val="24"/>
              </w:rPr>
              <w:t>Prefer not to answer</w:t>
            </w:r>
          </w:p>
        </w:tc>
        <w:tc>
          <w:tcPr>
            <w:tcW w:w="3005" w:type="dxa"/>
          </w:tcPr>
          <w:p w14:paraId="55FE5A5A" w14:textId="77777777" w:rsidR="007957D0" w:rsidRPr="00A3718D" w:rsidRDefault="007957D0" w:rsidP="00F91D0D">
            <w:pPr>
              <w:rPr>
                <w:rFonts w:cs="Arial"/>
                <w:szCs w:val="24"/>
              </w:rPr>
            </w:pPr>
            <w:r w:rsidRPr="00A3718D">
              <w:rPr>
                <w:rFonts w:cs="Arial"/>
                <w:szCs w:val="24"/>
              </w:rPr>
              <w:t>132</w:t>
            </w:r>
          </w:p>
        </w:tc>
        <w:tc>
          <w:tcPr>
            <w:tcW w:w="3006" w:type="dxa"/>
          </w:tcPr>
          <w:p w14:paraId="19DD23BC" w14:textId="77777777" w:rsidR="007957D0" w:rsidRPr="00A3718D" w:rsidRDefault="007957D0" w:rsidP="00F91D0D">
            <w:pPr>
              <w:rPr>
                <w:rFonts w:cs="Arial"/>
                <w:szCs w:val="24"/>
              </w:rPr>
            </w:pPr>
            <w:r w:rsidRPr="00A3718D">
              <w:rPr>
                <w:rFonts w:cs="Arial"/>
                <w:szCs w:val="24"/>
              </w:rPr>
              <w:t>2.75</w:t>
            </w:r>
          </w:p>
        </w:tc>
      </w:tr>
      <w:tr w:rsidR="007957D0" w:rsidRPr="00A3718D" w14:paraId="606056DF" w14:textId="77777777" w:rsidTr="00F91D0D">
        <w:tc>
          <w:tcPr>
            <w:tcW w:w="3005" w:type="dxa"/>
          </w:tcPr>
          <w:p w14:paraId="3CBC8BC0" w14:textId="77777777" w:rsidR="007957D0" w:rsidRPr="00A3718D" w:rsidRDefault="007957D0" w:rsidP="00F91D0D">
            <w:pPr>
              <w:rPr>
                <w:rFonts w:cs="Arial"/>
                <w:szCs w:val="24"/>
              </w:rPr>
            </w:pPr>
            <w:r w:rsidRPr="00A3718D">
              <w:rPr>
                <w:rFonts w:cs="Arial"/>
                <w:szCs w:val="24"/>
              </w:rPr>
              <w:t>White</w:t>
            </w:r>
          </w:p>
        </w:tc>
        <w:tc>
          <w:tcPr>
            <w:tcW w:w="3005" w:type="dxa"/>
          </w:tcPr>
          <w:p w14:paraId="284A27E2" w14:textId="77777777" w:rsidR="007957D0" w:rsidRPr="00A3718D" w:rsidRDefault="007957D0" w:rsidP="00F91D0D">
            <w:pPr>
              <w:rPr>
                <w:rFonts w:cs="Arial"/>
                <w:szCs w:val="24"/>
              </w:rPr>
            </w:pPr>
            <w:r w:rsidRPr="00A3718D">
              <w:rPr>
                <w:rFonts w:cs="Arial"/>
                <w:szCs w:val="24"/>
              </w:rPr>
              <w:t>3905</w:t>
            </w:r>
          </w:p>
        </w:tc>
        <w:tc>
          <w:tcPr>
            <w:tcW w:w="3006" w:type="dxa"/>
          </w:tcPr>
          <w:p w14:paraId="3FE8C87E" w14:textId="77777777" w:rsidR="007957D0" w:rsidRPr="00A3718D" w:rsidRDefault="007957D0" w:rsidP="00F91D0D">
            <w:pPr>
              <w:rPr>
                <w:rFonts w:cs="Arial"/>
                <w:szCs w:val="24"/>
              </w:rPr>
            </w:pPr>
            <w:r w:rsidRPr="00A3718D">
              <w:rPr>
                <w:rFonts w:cs="Arial"/>
                <w:szCs w:val="24"/>
              </w:rPr>
              <w:t>81.29</w:t>
            </w:r>
          </w:p>
        </w:tc>
      </w:tr>
      <w:tr w:rsidR="007957D0" w:rsidRPr="00A3718D" w14:paraId="2A6DA804" w14:textId="77777777" w:rsidTr="00F91D0D">
        <w:tc>
          <w:tcPr>
            <w:tcW w:w="3005" w:type="dxa"/>
            <w:shd w:val="clear" w:color="auto" w:fill="D9D9D9" w:themeFill="background1" w:themeFillShade="D9"/>
          </w:tcPr>
          <w:p w14:paraId="6AF1A5B1" w14:textId="77777777" w:rsidR="007957D0" w:rsidRPr="00A3718D" w:rsidRDefault="007957D0" w:rsidP="00F91D0D">
            <w:pPr>
              <w:rPr>
                <w:rFonts w:cs="Arial"/>
                <w:b/>
                <w:bCs/>
                <w:szCs w:val="24"/>
              </w:rPr>
            </w:pPr>
            <w:r w:rsidRPr="00A3718D">
              <w:rPr>
                <w:rFonts w:cs="Arial"/>
                <w:b/>
                <w:bCs/>
                <w:szCs w:val="24"/>
              </w:rPr>
              <w:t>Total</w:t>
            </w:r>
          </w:p>
        </w:tc>
        <w:tc>
          <w:tcPr>
            <w:tcW w:w="3005" w:type="dxa"/>
            <w:shd w:val="clear" w:color="auto" w:fill="D9D9D9" w:themeFill="background1" w:themeFillShade="D9"/>
          </w:tcPr>
          <w:p w14:paraId="536E5ABB" w14:textId="77777777" w:rsidR="007957D0" w:rsidRPr="00A3718D" w:rsidRDefault="007957D0" w:rsidP="00F91D0D">
            <w:pPr>
              <w:rPr>
                <w:rFonts w:cs="Arial"/>
                <w:b/>
                <w:bCs/>
                <w:szCs w:val="24"/>
              </w:rPr>
            </w:pPr>
            <w:r w:rsidRPr="00A3718D">
              <w:rPr>
                <w:rFonts w:cs="Arial"/>
                <w:b/>
                <w:bCs/>
                <w:szCs w:val="24"/>
              </w:rPr>
              <w:t>4804</w:t>
            </w:r>
          </w:p>
        </w:tc>
        <w:tc>
          <w:tcPr>
            <w:tcW w:w="3006" w:type="dxa"/>
            <w:shd w:val="clear" w:color="auto" w:fill="D9D9D9" w:themeFill="background1" w:themeFillShade="D9"/>
          </w:tcPr>
          <w:p w14:paraId="4B9B9345" w14:textId="77777777" w:rsidR="007957D0" w:rsidRPr="00A3718D" w:rsidRDefault="007957D0" w:rsidP="00F91D0D">
            <w:pPr>
              <w:rPr>
                <w:rFonts w:cs="Arial"/>
                <w:b/>
                <w:bCs/>
                <w:szCs w:val="24"/>
              </w:rPr>
            </w:pPr>
            <w:r w:rsidRPr="00A3718D">
              <w:rPr>
                <w:rFonts w:cs="Arial"/>
                <w:b/>
                <w:bCs/>
                <w:szCs w:val="24"/>
              </w:rPr>
              <w:t>100</w:t>
            </w:r>
          </w:p>
        </w:tc>
      </w:tr>
    </w:tbl>
    <w:p w14:paraId="4BD37526" w14:textId="77777777" w:rsidR="007957D0" w:rsidRPr="00A3718D" w:rsidRDefault="007957D0" w:rsidP="007957D0">
      <w:pPr>
        <w:rPr>
          <w:rFonts w:cs="Arial"/>
          <w:szCs w:val="24"/>
        </w:rPr>
      </w:pPr>
    </w:p>
    <w:p w14:paraId="0A420887" w14:textId="77777777" w:rsidR="007957D0" w:rsidRPr="00E00E1E" w:rsidRDefault="007957D0" w:rsidP="007957D0">
      <w:pPr>
        <w:rPr>
          <w:rFonts w:cs="Arial"/>
          <w:b/>
          <w:bCs/>
          <w:szCs w:val="24"/>
        </w:rPr>
      </w:pPr>
      <w:r w:rsidRPr="00E00E1E">
        <w:rPr>
          <w:rFonts w:cs="Arial"/>
          <w:b/>
          <w:bCs/>
          <w:szCs w:val="24"/>
        </w:rPr>
        <w:t>Mean Ethnicity Pay Gap</w:t>
      </w:r>
    </w:p>
    <w:p w14:paraId="224DCEBA" w14:textId="77777777" w:rsidR="007957D0" w:rsidRPr="00A3718D" w:rsidRDefault="007957D0" w:rsidP="007957D0">
      <w:pPr>
        <w:rPr>
          <w:rFonts w:cs="Arial"/>
          <w:szCs w:val="24"/>
        </w:rPr>
      </w:pPr>
      <w:r w:rsidRPr="00A3718D">
        <w:rPr>
          <w:rFonts w:cs="Arial"/>
          <w:szCs w:val="24"/>
        </w:rPr>
        <w:t>The mean of a group of values is the sum of all values added together and then divided by the number of values in the dataset. The mean ethnicity pay gap represents the pay gap across the entire organisation between the mean hourly wage for White employees and mean hourly wage for Minority Ethnic employees. NB “not known” and “prefer not to answer” values were excluded from the calculation.</w:t>
      </w:r>
    </w:p>
    <w:p w14:paraId="1E008B71" w14:textId="77777777" w:rsidR="007957D0" w:rsidRPr="00A3718D" w:rsidRDefault="007957D0" w:rsidP="007957D0">
      <w:pPr>
        <w:rPr>
          <w:rFonts w:cs="Arial"/>
          <w:szCs w:val="24"/>
        </w:rPr>
      </w:pPr>
      <w:r w:rsidRPr="00A3718D">
        <w:rPr>
          <w:rFonts w:cs="Arial"/>
          <w:szCs w:val="24"/>
        </w:rPr>
        <w:t>The mean average pay gap between White and Minority Ethnic employees is shown in the table below.</w:t>
      </w:r>
    </w:p>
    <w:tbl>
      <w:tblPr>
        <w:tblStyle w:val="TableGrid"/>
        <w:tblW w:w="0" w:type="auto"/>
        <w:tblLook w:val="04A0" w:firstRow="1" w:lastRow="0" w:firstColumn="1" w:lastColumn="0" w:noHBand="0" w:noVBand="1"/>
      </w:tblPr>
      <w:tblGrid>
        <w:gridCol w:w="3005"/>
        <w:gridCol w:w="3005"/>
        <w:gridCol w:w="3006"/>
      </w:tblGrid>
      <w:tr w:rsidR="007957D0" w:rsidRPr="00A3718D" w14:paraId="4CF875E7" w14:textId="77777777" w:rsidTr="00F91D0D">
        <w:tc>
          <w:tcPr>
            <w:tcW w:w="6010" w:type="dxa"/>
            <w:gridSpan w:val="2"/>
            <w:shd w:val="clear" w:color="auto" w:fill="D9D9D9" w:themeFill="background1" w:themeFillShade="D9"/>
          </w:tcPr>
          <w:p w14:paraId="15F227AC" w14:textId="77777777" w:rsidR="007957D0" w:rsidRPr="00A3718D" w:rsidRDefault="007957D0" w:rsidP="00F91D0D">
            <w:pPr>
              <w:rPr>
                <w:rFonts w:cs="Arial"/>
                <w:b/>
                <w:bCs/>
                <w:szCs w:val="24"/>
              </w:rPr>
            </w:pPr>
            <w:r w:rsidRPr="00A3718D">
              <w:rPr>
                <w:rFonts w:cs="Arial"/>
                <w:b/>
                <w:bCs/>
                <w:szCs w:val="24"/>
              </w:rPr>
              <w:t>Mean Average Hourly Rate</w:t>
            </w:r>
          </w:p>
        </w:tc>
        <w:tc>
          <w:tcPr>
            <w:tcW w:w="3006" w:type="dxa"/>
            <w:vMerge w:val="restart"/>
            <w:shd w:val="clear" w:color="auto" w:fill="D9D9D9" w:themeFill="background1" w:themeFillShade="D9"/>
          </w:tcPr>
          <w:p w14:paraId="05E8BF1D" w14:textId="77777777" w:rsidR="007957D0" w:rsidRPr="00A3718D" w:rsidRDefault="007957D0" w:rsidP="00F91D0D">
            <w:pPr>
              <w:rPr>
                <w:rFonts w:cs="Arial"/>
                <w:b/>
                <w:bCs/>
                <w:szCs w:val="24"/>
              </w:rPr>
            </w:pPr>
            <w:r w:rsidRPr="00A3718D">
              <w:rPr>
                <w:rFonts w:cs="Arial"/>
                <w:b/>
                <w:bCs/>
                <w:szCs w:val="24"/>
              </w:rPr>
              <w:t>Mean Average pay gap between Minority Ethnic and White Employees</w:t>
            </w:r>
          </w:p>
        </w:tc>
      </w:tr>
      <w:tr w:rsidR="007957D0" w:rsidRPr="00A3718D" w14:paraId="77816AF6" w14:textId="77777777" w:rsidTr="00F91D0D">
        <w:tc>
          <w:tcPr>
            <w:tcW w:w="3005" w:type="dxa"/>
          </w:tcPr>
          <w:p w14:paraId="72D00BDC" w14:textId="77777777" w:rsidR="007957D0" w:rsidRPr="00A3718D" w:rsidRDefault="007957D0" w:rsidP="00F91D0D">
            <w:pPr>
              <w:rPr>
                <w:rFonts w:cs="Arial"/>
                <w:szCs w:val="24"/>
              </w:rPr>
            </w:pPr>
            <w:r w:rsidRPr="00A3718D">
              <w:rPr>
                <w:rFonts w:cs="Arial"/>
                <w:szCs w:val="24"/>
              </w:rPr>
              <w:t>Minority Ethnic Employees</w:t>
            </w:r>
          </w:p>
        </w:tc>
        <w:tc>
          <w:tcPr>
            <w:tcW w:w="3005" w:type="dxa"/>
          </w:tcPr>
          <w:p w14:paraId="3263FB2C" w14:textId="77777777" w:rsidR="007957D0" w:rsidRPr="00A3718D" w:rsidRDefault="007957D0" w:rsidP="00F91D0D">
            <w:pPr>
              <w:rPr>
                <w:rFonts w:cs="Arial"/>
                <w:szCs w:val="24"/>
              </w:rPr>
            </w:pPr>
            <w:r w:rsidRPr="00A3718D">
              <w:rPr>
                <w:rFonts w:cs="Arial"/>
                <w:szCs w:val="24"/>
              </w:rPr>
              <w:t>White Employees</w:t>
            </w:r>
          </w:p>
        </w:tc>
        <w:tc>
          <w:tcPr>
            <w:tcW w:w="3006" w:type="dxa"/>
            <w:vMerge/>
          </w:tcPr>
          <w:p w14:paraId="40A79163" w14:textId="77777777" w:rsidR="007957D0" w:rsidRPr="00A3718D" w:rsidRDefault="007957D0" w:rsidP="00F91D0D">
            <w:pPr>
              <w:rPr>
                <w:rFonts w:cs="Arial"/>
                <w:szCs w:val="24"/>
              </w:rPr>
            </w:pPr>
          </w:p>
        </w:tc>
      </w:tr>
      <w:tr w:rsidR="007957D0" w:rsidRPr="00A3718D" w14:paraId="610D5F82" w14:textId="77777777" w:rsidTr="00F91D0D">
        <w:tc>
          <w:tcPr>
            <w:tcW w:w="3005" w:type="dxa"/>
          </w:tcPr>
          <w:p w14:paraId="3AF16411" w14:textId="77777777" w:rsidR="007957D0" w:rsidRPr="00A3718D" w:rsidRDefault="007957D0" w:rsidP="00F91D0D">
            <w:pPr>
              <w:rPr>
                <w:rFonts w:cs="Arial"/>
                <w:szCs w:val="24"/>
              </w:rPr>
            </w:pPr>
            <w:r w:rsidRPr="00A3718D">
              <w:rPr>
                <w:rFonts w:cs="Arial"/>
                <w:szCs w:val="24"/>
              </w:rPr>
              <w:t>£20.48</w:t>
            </w:r>
          </w:p>
        </w:tc>
        <w:tc>
          <w:tcPr>
            <w:tcW w:w="3005" w:type="dxa"/>
          </w:tcPr>
          <w:p w14:paraId="5998AE06" w14:textId="77777777" w:rsidR="007957D0" w:rsidRPr="00A3718D" w:rsidRDefault="007957D0" w:rsidP="00F91D0D">
            <w:pPr>
              <w:rPr>
                <w:rFonts w:cs="Arial"/>
                <w:szCs w:val="24"/>
              </w:rPr>
            </w:pPr>
            <w:r w:rsidRPr="00A3718D">
              <w:rPr>
                <w:rFonts w:cs="Arial"/>
                <w:szCs w:val="24"/>
              </w:rPr>
              <w:t>£21.00</w:t>
            </w:r>
          </w:p>
        </w:tc>
        <w:tc>
          <w:tcPr>
            <w:tcW w:w="3006" w:type="dxa"/>
          </w:tcPr>
          <w:p w14:paraId="515911D1" w14:textId="77777777" w:rsidR="007957D0" w:rsidRPr="00A3718D" w:rsidRDefault="007957D0" w:rsidP="00F91D0D">
            <w:pPr>
              <w:rPr>
                <w:rFonts w:cs="Arial"/>
                <w:szCs w:val="24"/>
              </w:rPr>
            </w:pPr>
            <w:r w:rsidRPr="00A3718D">
              <w:rPr>
                <w:rFonts w:cs="Arial"/>
                <w:szCs w:val="24"/>
              </w:rPr>
              <w:t>2.51%</w:t>
            </w:r>
          </w:p>
        </w:tc>
      </w:tr>
    </w:tbl>
    <w:p w14:paraId="5915DD3C" w14:textId="77777777" w:rsidR="007957D0" w:rsidRPr="00A3718D" w:rsidRDefault="007957D0" w:rsidP="007957D0">
      <w:pPr>
        <w:rPr>
          <w:rFonts w:cs="Arial"/>
          <w:szCs w:val="24"/>
        </w:rPr>
      </w:pPr>
    </w:p>
    <w:p w14:paraId="36D52CED" w14:textId="77777777" w:rsidR="007957D0" w:rsidRPr="00A3718D" w:rsidRDefault="007957D0" w:rsidP="007957D0">
      <w:pPr>
        <w:rPr>
          <w:rFonts w:cs="Arial"/>
          <w:szCs w:val="24"/>
        </w:rPr>
      </w:pPr>
      <w:r w:rsidRPr="00A3718D">
        <w:rPr>
          <w:rFonts w:cs="Arial"/>
          <w:szCs w:val="24"/>
        </w:rPr>
        <w:t>The mean average ethnicity pay gap was 2.51%. For every £1.00 a White employee earns, on average an employee from a Minority Ethnic background earns £0.97 (rounded to the nearest penny).</w:t>
      </w:r>
    </w:p>
    <w:p w14:paraId="2B2949AE" w14:textId="77777777" w:rsidR="007957D0" w:rsidRPr="00A3718D" w:rsidRDefault="007957D0" w:rsidP="007957D0">
      <w:pPr>
        <w:rPr>
          <w:rFonts w:cs="Arial"/>
          <w:szCs w:val="24"/>
        </w:rPr>
      </w:pPr>
    </w:p>
    <w:p w14:paraId="69FC59EC" w14:textId="77777777" w:rsidR="007957D0" w:rsidRPr="00E00E1E" w:rsidRDefault="007957D0" w:rsidP="007957D0">
      <w:pPr>
        <w:rPr>
          <w:rFonts w:cs="Arial"/>
          <w:b/>
          <w:bCs/>
          <w:szCs w:val="24"/>
        </w:rPr>
      </w:pPr>
      <w:r w:rsidRPr="00E00E1E">
        <w:rPr>
          <w:rFonts w:cs="Arial"/>
          <w:b/>
          <w:bCs/>
          <w:szCs w:val="24"/>
        </w:rPr>
        <w:t>Median Ethnicity Pay Gap</w:t>
      </w:r>
    </w:p>
    <w:p w14:paraId="1112980A" w14:textId="77777777" w:rsidR="007957D0" w:rsidRPr="00A3718D" w:rsidRDefault="007957D0" w:rsidP="007957D0">
      <w:pPr>
        <w:rPr>
          <w:rFonts w:cs="Arial"/>
          <w:szCs w:val="24"/>
        </w:rPr>
      </w:pPr>
      <w:r w:rsidRPr="00A3718D">
        <w:rPr>
          <w:rFonts w:cs="Arial"/>
          <w:szCs w:val="24"/>
        </w:rPr>
        <w:t>The median hourly rate for each ethnic group is calculated by ranking all employees by ethnicity (data for “not known” and “prefer not to answer” values were excluded from the calculation) from the highest paid to the lowest paid and taking the hourly wage of the person in the middle. The median ethnicity pay gap is the difference between the median hourly wage of Minority Ethnic employees and the median hourly wage of White employees.</w:t>
      </w:r>
    </w:p>
    <w:p w14:paraId="115F814A" w14:textId="77777777" w:rsidR="007957D0" w:rsidRPr="00A3718D" w:rsidRDefault="007957D0" w:rsidP="007957D0">
      <w:pPr>
        <w:rPr>
          <w:rFonts w:cs="Arial"/>
          <w:szCs w:val="24"/>
        </w:rPr>
      </w:pPr>
      <w:r w:rsidRPr="00A3718D">
        <w:rPr>
          <w:rFonts w:cs="Arial"/>
          <w:szCs w:val="24"/>
        </w:rPr>
        <w:t>The median average hourly rate of pay for Minority Ethnic employees at the report date was £18.52. The median average hourly rate of pay for White employees was also £18.52.  There was therefore no median ethnicity average pay gap.</w:t>
      </w:r>
    </w:p>
    <w:p w14:paraId="17EFBC91" w14:textId="77777777" w:rsidR="007957D0" w:rsidRPr="00A3718D" w:rsidRDefault="007957D0" w:rsidP="007957D0">
      <w:pPr>
        <w:rPr>
          <w:rFonts w:cs="Arial"/>
          <w:szCs w:val="24"/>
        </w:rPr>
      </w:pPr>
    </w:p>
    <w:p w14:paraId="6321C17E" w14:textId="77777777" w:rsidR="007957D0" w:rsidRPr="00A3718D" w:rsidRDefault="007957D0" w:rsidP="007957D0">
      <w:pPr>
        <w:rPr>
          <w:rFonts w:cs="Arial"/>
          <w:szCs w:val="24"/>
        </w:rPr>
      </w:pPr>
    </w:p>
    <w:p w14:paraId="2108EF2B" w14:textId="77777777" w:rsidR="007957D0" w:rsidRPr="00A3718D" w:rsidRDefault="007957D0" w:rsidP="007957D0">
      <w:pPr>
        <w:rPr>
          <w:rFonts w:cs="Arial"/>
          <w:b/>
          <w:bCs/>
          <w:szCs w:val="24"/>
        </w:rPr>
      </w:pPr>
      <w:r w:rsidRPr="00A3718D">
        <w:rPr>
          <w:rFonts w:cs="Arial"/>
          <w:b/>
          <w:bCs/>
          <w:szCs w:val="24"/>
        </w:rPr>
        <w:t>Appendix 2 Disability pay gap</w:t>
      </w:r>
    </w:p>
    <w:p w14:paraId="6ECC09C7" w14:textId="77777777" w:rsidR="007957D0" w:rsidRPr="00A3718D" w:rsidRDefault="007957D0" w:rsidP="007957D0">
      <w:pPr>
        <w:rPr>
          <w:rFonts w:cs="Arial"/>
          <w:szCs w:val="24"/>
        </w:rPr>
      </w:pPr>
      <w:r w:rsidRPr="00A3718D">
        <w:rPr>
          <w:rFonts w:cs="Arial"/>
          <w:szCs w:val="24"/>
        </w:rPr>
        <w:t>The composition of East Lothian Council’s workforce by disability grouping at the snapshot date of 31</w:t>
      </w:r>
      <w:r w:rsidRPr="00A3718D">
        <w:rPr>
          <w:rFonts w:cs="Arial"/>
          <w:szCs w:val="24"/>
          <w:vertAlign w:val="superscript"/>
        </w:rPr>
        <w:t>st</w:t>
      </w:r>
      <w:r w:rsidRPr="00A3718D">
        <w:rPr>
          <w:rFonts w:cs="Arial"/>
          <w:szCs w:val="24"/>
        </w:rPr>
        <w:t xml:space="preserve"> March 2024 was as follows:  </w:t>
      </w:r>
    </w:p>
    <w:tbl>
      <w:tblPr>
        <w:tblStyle w:val="TableGrid"/>
        <w:tblW w:w="0" w:type="auto"/>
        <w:tblLook w:val="04A0" w:firstRow="1" w:lastRow="0" w:firstColumn="1" w:lastColumn="0" w:noHBand="0" w:noVBand="1"/>
      </w:tblPr>
      <w:tblGrid>
        <w:gridCol w:w="3005"/>
        <w:gridCol w:w="3005"/>
        <w:gridCol w:w="3006"/>
      </w:tblGrid>
      <w:tr w:rsidR="007957D0" w:rsidRPr="00A3718D" w14:paraId="061F48FA" w14:textId="77777777" w:rsidTr="00F91D0D">
        <w:tc>
          <w:tcPr>
            <w:tcW w:w="3005" w:type="dxa"/>
            <w:shd w:val="clear" w:color="auto" w:fill="D9D9D9" w:themeFill="background1" w:themeFillShade="D9"/>
          </w:tcPr>
          <w:p w14:paraId="24A00A3C" w14:textId="77777777" w:rsidR="007957D0" w:rsidRPr="00A3718D" w:rsidRDefault="007957D0" w:rsidP="00F91D0D">
            <w:pPr>
              <w:rPr>
                <w:rFonts w:cs="Arial"/>
                <w:b/>
                <w:bCs/>
                <w:szCs w:val="24"/>
              </w:rPr>
            </w:pPr>
            <w:r w:rsidRPr="00A3718D">
              <w:rPr>
                <w:rFonts w:cs="Arial"/>
                <w:b/>
                <w:bCs/>
                <w:szCs w:val="24"/>
              </w:rPr>
              <w:t>Group</w:t>
            </w:r>
          </w:p>
        </w:tc>
        <w:tc>
          <w:tcPr>
            <w:tcW w:w="3005" w:type="dxa"/>
            <w:shd w:val="clear" w:color="auto" w:fill="D9D9D9" w:themeFill="background1" w:themeFillShade="D9"/>
          </w:tcPr>
          <w:p w14:paraId="2AB56BDA" w14:textId="77777777" w:rsidR="007957D0" w:rsidRPr="00A3718D" w:rsidRDefault="007957D0" w:rsidP="00F91D0D">
            <w:pPr>
              <w:rPr>
                <w:rFonts w:cs="Arial"/>
                <w:b/>
                <w:bCs/>
                <w:szCs w:val="24"/>
              </w:rPr>
            </w:pPr>
            <w:r w:rsidRPr="00A3718D">
              <w:rPr>
                <w:rFonts w:cs="Arial"/>
                <w:b/>
                <w:bCs/>
                <w:szCs w:val="24"/>
              </w:rPr>
              <w:t>Headcount</w:t>
            </w:r>
          </w:p>
        </w:tc>
        <w:tc>
          <w:tcPr>
            <w:tcW w:w="3006" w:type="dxa"/>
            <w:shd w:val="clear" w:color="auto" w:fill="D9D9D9" w:themeFill="background1" w:themeFillShade="D9"/>
          </w:tcPr>
          <w:p w14:paraId="0CF74BB0" w14:textId="77777777" w:rsidR="007957D0" w:rsidRPr="00A3718D" w:rsidRDefault="007957D0" w:rsidP="00F91D0D">
            <w:pPr>
              <w:rPr>
                <w:rFonts w:cs="Arial"/>
                <w:b/>
                <w:bCs/>
                <w:szCs w:val="24"/>
              </w:rPr>
            </w:pPr>
            <w:r w:rsidRPr="00A3718D">
              <w:rPr>
                <w:rFonts w:cs="Arial"/>
                <w:b/>
                <w:bCs/>
                <w:szCs w:val="24"/>
              </w:rPr>
              <w:t>% of Total</w:t>
            </w:r>
          </w:p>
        </w:tc>
      </w:tr>
      <w:tr w:rsidR="007957D0" w:rsidRPr="00A3718D" w14:paraId="69281C9D" w14:textId="77777777" w:rsidTr="00F91D0D">
        <w:tc>
          <w:tcPr>
            <w:tcW w:w="3005" w:type="dxa"/>
          </w:tcPr>
          <w:p w14:paraId="793F4E79" w14:textId="77777777" w:rsidR="007957D0" w:rsidRPr="00A3718D" w:rsidRDefault="007957D0" w:rsidP="00F91D0D">
            <w:pPr>
              <w:rPr>
                <w:rFonts w:cs="Arial"/>
                <w:szCs w:val="24"/>
              </w:rPr>
            </w:pPr>
            <w:r w:rsidRPr="00A3718D">
              <w:rPr>
                <w:rFonts w:cs="Arial"/>
                <w:szCs w:val="24"/>
              </w:rPr>
              <w:t>Disabled</w:t>
            </w:r>
          </w:p>
        </w:tc>
        <w:tc>
          <w:tcPr>
            <w:tcW w:w="3005" w:type="dxa"/>
          </w:tcPr>
          <w:p w14:paraId="0CB265E1" w14:textId="77777777" w:rsidR="007957D0" w:rsidRPr="00A3718D" w:rsidRDefault="007957D0" w:rsidP="00F91D0D">
            <w:pPr>
              <w:rPr>
                <w:rFonts w:cs="Arial"/>
                <w:szCs w:val="24"/>
              </w:rPr>
            </w:pPr>
            <w:r w:rsidRPr="00A3718D">
              <w:rPr>
                <w:rFonts w:cs="Arial"/>
                <w:szCs w:val="24"/>
              </w:rPr>
              <w:t>212</w:t>
            </w:r>
          </w:p>
        </w:tc>
        <w:tc>
          <w:tcPr>
            <w:tcW w:w="3006" w:type="dxa"/>
          </w:tcPr>
          <w:p w14:paraId="32FB2E33" w14:textId="77777777" w:rsidR="007957D0" w:rsidRPr="00A3718D" w:rsidRDefault="007957D0" w:rsidP="00F91D0D">
            <w:pPr>
              <w:rPr>
                <w:rFonts w:cs="Arial"/>
                <w:szCs w:val="24"/>
              </w:rPr>
            </w:pPr>
            <w:r w:rsidRPr="00A3718D">
              <w:rPr>
                <w:rFonts w:cs="Arial"/>
                <w:szCs w:val="24"/>
              </w:rPr>
              <w:t>4.41</w:t>
            </w:r>
          </w:p>
        </w:tc>
      </w:tr>
      <w:tr w:rsidR="007957D0" w:rsidRPr="00A3718D" w14:paraId="7CCE318A" w14:textId="77777777" w:rsidTr="00F91D0D">
        <w:tc>
          <w:tcPr>
            <w:tcW w:w="3005" w:type="dxa"/>
          </w:tcPr>
          <w:p w14:paraId="42DE94D1" w14:textId="77777777" w:rsidR="007957D0" w:rsidRPr="00A3718D" w:rsidRDefault="007957D0" w:rsidP="00F91D0D">
            <w:pPr>
              <w:rPr>
                <w:rFonts w:cs="Arial"/>
                <w:szCs w:val="24"/>
              </w:rPr>
            </w:pPr>
            <w:r w:rsidRPr="00A3718D">
              <w:rPr>
                <w:rFonts w:cs="Arial"/>
                <w:szCs w:val="24"/>
              </w:rPr>
              <w:t>Not Disabled</w:t>
            </w:r>
          </w:p>
        </w:tc>
        <w:tc>
          <w:tcPr>
            <w:tcW w:w="3005" w:type="dxa"/>
          </w:tcPr>
          <w:p w14:paraId="6FFFF156" w14:textId="77777777" w:rsidR="007957D0" w:rsidRPr="00A3718D" w:rsidRDefault="007957D0" w:rsidP="00F91D0D">
            <w:pPr>
              <w:rPr>
                <w:rFonts w:cs="Arial"/>
                <w:szCs w:val="24"/>
              </w:rPr>
            </w:pPr>
            <w:r w:rsidRPr="00A3718D">
              <w:rPr>
                <w:rFonts w:cs="Arial"/>
                <w:szCs w:val="24"/>
              </w:rPr>
              <w:t>3452</w:t>
            </w:r>
          </w:p>
        </w:tc>
        <w:tc>
          <w:tcPr>
            <w:tcW w:w="3006" w:type="dxa"/>
          </w:tcPr>
          <w:p w14:paraId="48DA6129" w14:textId="77777777" w:rsidR="007957D0" w:rsidRPr="00A3718D" w:rsidRDefault="007957D0" w:rsidP="00F91D0D">
            <w:pPr>
              <w:rPr>
                <w:rFonts w:cs="Arial"/>
                <w:szCs w:val="24"/>
              </w:rPr>
            </w:pPr>
            <w:r w:rsidRPr="00A3718D">
              <w:rPr>
                <w:rFonts w:cs="Arial"/>
                <w:szCs w:val="24"/>
              </w:rPr>
              <w:t>71.86</w:t>
            </w:r>
          </w:p>
        </w:tc>
      </w:tr>
      <w:tr w:rsidR="007957D0" w:rsidRPr="00A3718D" w14:paraId="4B5620C8" w14:textId="77777777" w:rsidTr="00F91D0D">
        <w:tc>
          <w:tcPr>
            <w:tcW w:w="3005" w:type="dxa"/>
          </w:tcPr>
          <w:p w14:paraId="0D4F7E8F" w14:textId="77777777" w:rsidR="007957D0" w:rsidRPr="00A3718D" w:rsidRDefault="007957D0" w:rsidP="00F91D0D">
            <w:pPr>
              <w:rPr>
                <w:rFonts w:cs="Arial"/>
                <w:szCs w:val="24"/>
              </w:rPr>
            </w:pPr>
            <w:r w:rsidRPr="00A3718D">
              <w:rPr>
                <w:rFonts w:cs="Arial"/>
                <w:szCs w:val="24"/>
              </w:rPr>
              <w:t>Not Known</w:t>
            </w:r>
          </w:p>
        </w:tc>
        <w:tc>
          <w:tcPr>
            <w:tcW w:w="3005" w:type="dxa"/>
          </w:tcPr>
          <w:p w14:paraId="3DB6FE81" w14:textId="77777777" w:rsidR="007957D0" w:rsidRPr="00A3718D" w:rsidRDefault="007957D0" w:rsidP="00F91D0D">
            <w:pPr>
              <w:rPr>
                <w:rFonts w:cs="Arial"/>
                <w:szCs w:val="24"/>
              </w:rPr>
            </w:pPr>
            <w:r w:rsidRPr="00A3718D">
              <w:rPr>
                <w:rFonts w:cs="Arial"/>
                <w:szCs w:val="24"/>
              </w:rPr>
              <w:t>1114</w:t>
            </w:r>
          </w:p>
        </w:tc>
        <w:tc>
          <w:tcPr>
            <w:tcW w:w="3006" w:type="dxa"/>
          </w:tcPr>
          <w:p w14:paraId="304E6A70" w14:textId="77777777" w:rsidR="007957D0" w:rsidRPr="00A3718D" w:rsidRDefault="007957D0" w:rsidP="00F91D0D">
            <w:pPr>
              <w:rPr>
                <w:rFonts w:cs="Arial"/>
                <w:szCs w:val="24"/>
              </w:rPr>
            </w:pPr>
            <w:r w:rsidRPr="00A3718D">
              <w:rPr>
                <w:rFonts w:cs="Arial"/>
                <w:szCs w:val="24"/>
              </w:rPr>
              <w:t>23.19</w:t>
            </w:r>
          </w:p>
        </w:tc>
      </w:tr>
      <w:tr w:rsidR="007957D0" w:rsidRPr="00A3718D" w14:paraId="7B50619C" w14:textId="77777777" w:rsidTr="00F91D0D">
        <w:tc>
          <w:tcPr>
            <w:tcW w:w="3005" w:type="dxa"/>
          </w:tcPr>
          <w:p w14:paraId="4234672E" w14:textId="77777777" w:rsidR="007957D0" w:rsidRPr="00A3718D" w:rsidRDefault="007957D0" w:rsidP="00F91D0D">
            <w:pPr>
              <w:rPr>
                <w:rFonts w:cs="Arial"/>
                <w:szCs w:val="24"/>
              </w:rPr>
            </w:pPr>
            <w:r w:rsidRPr="00A3718D">
              <w:rPr>
                <w:rFonts w:cs="Arial"/>
                <w:szCs w:val="24"/>
              </w:rPr>
              <w:t>Prefer not to answer</w:t>
            </w:r>
          </w:p>
        </w:tc>
        <w:tc>
          <w:tcPr>
            <w:tcW w:w="3005" w:type="dxa"/>
          </w:tcPr>
          <w:p w14:paraId="6F673756" w14:textId="77777777" w:rsidR="007957D0" w:rsidRPr="00A3718D" w:rsidRDefault="007957D0" w:rsidP="00F91D0D">
            <w:pPr>
              <w:rPr>
                <w:rFonts w:cs="Arial"/>
                <w:szCs w:val="24"/>
              </w:rPr>
            </w:pPr>
            <w:r w:rsidRPr="00A3718D">
              <w:rPr>
                <w:rFonts w:cs="Arial"/>
                <w:szCs w:val="24"/>
              </w:rPr>
              <w:t>26</w:t>
            </w:r>
          </w:p>
        </w:tc>
        <w:tc>
          <w:tcPr>
            <w:tcW w:w="3006" w:type="dxa"/>
          </w:tcPr>
          <w:p w14:paraId="65C2C019" w14:textId="77777777" w:rsidR="007957D0" w:rsidRPr="00A3718D" w:rsidRDefault="007957D0" w:rsidP="00F91D0D">
            <w:pPr>
              <w:rPr>
                <w:rFonts w:cs="Arial"/>
                <w:szCs w:val="24"/>
              </w:rPr>
            </w:pPr>
            <w:r w:rsidRPr="00A3718D">
              <w:rPr>
                <w:rFonts w:cs="Arial"/>
                <w:szCs w:val="24"/>
              </w:rPr>
              <w:t>0.54</w:t>
            </w:r>
          </w:p>
        </w:tc>
      </w:tr>
      <w:tr w:rsidR="007957D0" w:rsidRPr="00A3718D" w14:paraId="31A245F5" w14:textId="77777777" w:rsidTr="00F91D0D">
        <w:tc>
          <w:tcPr>
            <w:tcW w:w="3005" w:type="dxa"/>
            <w:shd w:val="clear" w:color="auto" w:fill="D9D9D9" w:themeFill="background1" w:themeFillShade="D9"/>
          </w:tcPr>
          <w:p w14:paraId="55BD9867" w14:textId="77777777" w:rsidR="007957D0" w:rsidRPr="00F25B1F" w:rsidRDefault="007957D0" w:rsidP="00F91D0D">
            <w:pPr>
              <w:rPr>
                <w:rFonts w:cs="Arial"/>
                <w:b/>
                <w:bCs/>
                <w:szCs w:val="24"/>
              </w:rPr>
            </w:pPr>
            <w:r w:rsidRPr="00F25B1F">
              <w:rPr>
                <w:rFonts w:cs="Arial"/>
                <w:b/>
                <w:bCs/>
                <w:szCs w:val="24"/>
              </w:rPr>
              <w:t>Total</w:t>
            </w:r>
          </w:p>
        </w:tc>
        <w:tc>
          <w:tcPr>
            <w:tcW w:w="3005" w:type="dxa"/>
            <w:shd w:val="clear" w:color="auto" w:fill="D9D9D9" w:themeFill="background1" w:themeFillShade="D9"/>
          </w:tcPr>
          <w:p w14:paraId="658C95A3" w14:textId="77777777" w:rsidR="007957D0" w:rsidRPr="00F25B1F" w:rsidRDefault="007957D0" w:rsidP="00F91D0D">
            <w:pPr>
              <w:rPr>
                <w:rFonts w:cs="Arial"/>
                <w:b/>
                <w:bCs/>
                <w:szCs w:val="24"/>
              </w:rPr>
            </w:pPr>
            <w:r w:rsidRPr="00F25B1F">
              <w:rPr>
                <w:rFonts w:cs="Arial"/>
                <w:b/>
                <w:bCs/>
                <w:szCs w:val="24"/>
              </w:rPr>
              <w:t>4804</w:t>
            </w:r>
          </w:p>
        </w:tc>
        <w:tc>
          <w:tcPr>
            <w:tcW w:w="3006" w:type="dxa"/>
            <w:shd w:val="clear" w:color="auto" w:fill="D9D9D9" w:themeFill="background1" w:themeFillShade="D9"/>
          </w:tcPr>
          <w:p w14:paraId="5D556F78" w14:textId="77777777" w:rsidR="007957D0" w:rsidRPr="00F25B1F" w:rsidRDefault="007957D0" w:rsidP="00F91D0D">
            <w:pPr>
              <w:rPr>
                <w:rFonts w:cs="Arial"/>
                <w:b/>
                <w:bCs/>
                <w:szCs w:val="24"/>
              </w:rPr>
            </w:pPr>
            <w:r w:rsidRPr="00F25B1F">
              <w:rPr>
                <w:rFonts w:cs="Arial"/>
                <w:b/>
                <w:bCs/>
                <w:szCs w:val="24"/>
              </w:rPr>
              <w:t>100</w:t>
            </w:r>
          </w:p>
        </w:tc>
      </w:tr>
    </w:tbl>
    <w:p w14:paraId="3962890B" w14:textId="77777777" w:rsidR="007957D0" w:rsidRPr="00A3718D" w:rsidRDefault="007957D0" w:rsidP="007957D0">
      <w:pPr>
        <w:rPr>
          <w:rFonts w:cs="Arial"/>
          <w:szCs w:val="24"/>
        </w:rPr>
      </w:pPr>
    </w:p>
    <w:p w14:paraId="143037F3" w14:textId="77777777" w:rsidR="007957D0" w:rsidRPr="00E00E1E" w:rsidRDefault="007957D0" w:rsidP="007957D0">
      <w:pPr>
        <w:rPr>
          <w:rFonts w:cs="Arial"/>
          <w:b/>
          <w:bCs/>
          <w:szCs w:val="24"/>
        </w:rPr>
      </w:pPr>
      <w:r w:rsidRPr="00E00E1E">
        <w:rPr>
          <w:rFonts w:cs="Arial"/>
          <w:b/>
          <w:bCs/>
          <w:szCs w:val="24"/>
        </w:rPr>
        <w:t>Mean Disability Pay Gap</w:t>
      </w:r>
    </w:p>
    <w:p w14:paraId="18DF2DA9" w14:textId="77777777" w:rsidR="007957D0" w:rsidRPr="00A3718D" w:rsidRDefault="007957D0" w:rsidP="007957D0">
      <w:pPr>
        <w:rPr>
          <w:rFonts w:cs="Arial"/>
          <w:szCs w:val="24"/>
        </w:rPr>
      </w:pPr>
      <w:r w:rsidRPr="00A3718D">
        <w:rPr>
          <w:rFonts w:cs="Arial"/>
          <w:szCs w:val="24"/>
        </w:rPr>
        <w:t xml:space="preserve">The mean of a group of values is the sum of all values added together and then divided by the number of values in the dataset. The mean disability pay gap represents the pay gap across the entire organisation between the mean hourly wage for </w:t>
      </w:r>
      <w:proofErr w:type="gramStart"/>
      <w:r w:rsidRPr="00A3718D">
        <w:rPr>
          <w:rFonts w:cs="Arial"/>
          <w:szCs w:val="24"/>
        </w:rPr>
        <w:t>Non-Disabled</w:t>
      </w:r>
      <w:proofErr w:type="gramEnd"/>
      <w:r w:rsidRPr="00A3718D">
        <w:rPr>
          <w:rFonts w:cs="Arial"/>
          <w:szCs w:val="24"/>
        </w:rPr>
        <w:t xml:space="preserve"> employees and mean hourly wage for Disabled employees. NB “not known” and “prefer not to answer” values were excluded from the calculation.</w:t>
      </w:r>
    </w:p>
    <w:p w14:paraId="44E771B4" w14:textId="77777777" w:rsidR="007957D0" w:rsidRPr="00A3718D" w:rsidRDefault="007957D0" w:rsidP="007957D0">
      <w:pPr>
        <w:rPr>
          <w:rFonts w:cs="Arial"/>
          <w:szCs w:val="24"/>
        </w:rPr>
      </w:pPr>
      <w:r w:rsidRPr="00A3718D">
        <w:rPr>
          <w:rFonts w:cs="Arial"/>
          <w:szCs w:val="24"/>
        </w:rPr>
        <w:t>The mean average pay gap between Non-Disabled and Disabled employees is shown in the table below.</w:t>
      </w:r>
    </w:p>
    <w:tbl>
      <w:tblPr>
        <w:tblStyle w:val="TableGrid"/>
        <w:tblW w:w="0" w:type="auto"/>
        <w:tblLook w:val="04A0" w:firstRow="1" w:lastRow="0" w:firstColumn="1" w:lastColumn="0" w:noHBand="0" w:noVBand="1"/>
      </w:tblPr>
      <w:tblGrid>
        <w:gridCol w:w="3005"/>
        <w:gridCol w:w="3005"/>
        <w:gridCol w:w="3006"/>
      </w:tblGrid>
      <w:tr w:rsidR="007957D0" w:rsidRPr="00A3718D" w14:paraId="7B57E349" w14:textId="77777777" w:rsidTr="00F91D0D">
        <w:tc>
          <w:tcPr>
            <w:tcW w:w="6010" w:type="dxa"/>
            <w:gridSpan w:val="2"/>
            <w:shd w:val="clear" w:color="auto" w:fill="D9D9D9" w:themeFill="background1" w:themeFillShade="D9"/>
          </w:tcPr>
          <w:p w14:paraId="7E01E0E7" w14:textId="77777777" w:rsidR="007957D0" w:rsidRPr="00A3718D" w:rsidRDefault="007957D0" w:rsidP="00F91D0D">
            <w:pPr>
              <w:rPr>
                <w:rFonts w:cs="Arial"/>
                <w:b/>
                <w:bCs/>
                <w:szCs w:val="24"/>
              </w:rPr>
            </w:pPr>
            <w:bookmarkStart w:id="0" w:name="_Hlk193987091"/>
            <w:r w:rsidRPr="00A3718D">
              <w:rPr>
                <w:rFonts w:cs="Arial"/>
                <w:b/>
                <w:bCs/>
                <w:szCs w:val="24"/>
              </w:rPr>
              <w:t>Mean Average Hourly Rate</w:t>
            </w:r>
          </w:p>
        </w:tc>
        <w:tc>
          <w:tcPr>
            <w:tcW w:w="3006" w:type="dxa"/>
            <w:vMerge w:val="restart"/>
            <w:shd w:val="clear" w:color="auto" w:fill="D9D9D9" w:themeFill="background1" w:themeFillShade="D9"/>
          </w:tcPr>
          <w:p w14:paraId="291DE7F1" w14:textId="77777777" w:rsidR="007957D0" w:rsidRPr="00A3718D" w:rsidRDefault="007957D0" w:rsidP="00F91D0D">
            <w:pPr>
              <w:rPr>
                <w:rFonts w:cs="Arial"/>
                <w:b/>
                <w:bCs/>
                <w:szCs w:val="24"/>
              </w:rPr>
            </w:pPr>
            <w:r w:rsidRPr="00A3718D">
              <w:rPr>
                <w:rFonts w:cs="Arial"/>
                <w:b/>
                <w:bCs/>
                <w:szCs w:val="24"/>
              </w:rPr>
              <w:t>Mean Average pay gap between Minority Ethnic and White Employees</w:t>
            </w:r>
          </w:p>
        </w:tc>
      </w:tr>
      <w:tr w:rsidR="007957D0" w:rsidRPr="00A3718D" w14:paraId="39C42A6B" w14:textId="77777777" w:rsidTr="00F91D0D">
        <w:tc>
          <w:tcPr>
            <w:tcW w:w="3005" w:type="dxa"/>
          </w:tcPr>
          <w:p w14:paraId="75B76672" w14:textId="77777777" w:rsidR="007957D0" w:rsidRPr="00A3718D" w:rsidRDefault="007957D0" w:rsidP="00F91D0D">
            <w:pPr>
              <w:rPr>
                <w:rFonts w:cs="Arial"/>
                <w:szCs w:val="24"/>
              </w:rPr>
            </w:pPr>
            <w:r w:rsidRPr="00A3718D">
              <w:rPr>
                <w:rFonts w:cs="Arial"/>
                <w:szCs w:val="24"/>
              </w:rPr>
              <w:t>Disabled</w:t>
            </w:r>
          </w:p>
        </w:tc>
        <w:tc>
          <w:tcPr>
            <w:tcW w:w="3005" w:type="dxa"/>
          </w:tcPr>
          <w:p w14:paraId="17E2183B" w14:textId="77777777" w:rsidR="007957D0" w:rsidRPr="00A3718D" w:rsidRDefault="007957D0" w:rsidP="00F91D0D">
            <w:pPr>
              <w:rPr>
                <w:rFonts w:cs="Arial"/>
                <w:szCs w:val="24"/>
              </w:rPr>
            </w:pPr>
            <w:r w:rsidRPr="00A3718D">
              <w:rPr>
                <w:rFonts w:cs="Arial"/>
                <w:szCs w:val="24"/>
              </w:rPr>
              <w:t>Not Disabled</w:t>
            </w:r>
          </w:p>
        </w:tc>
        <w:tc>
          <w:tcPr>
            <w:tcW w:w="3006" w:type="dxa"/>
            <w:vMerge/>
          </w:tcPr>
          <w:p w14:paraId="57C849CD" w14:textId="77777777" w:rsidR="007957D0" w:rsidRPr="00A3718D" w:rsidRDefault="007957D0" w:rsidP="00F91D0D">
            <w:pPr>
              <w:rPr>
                <w:rFonts w:cs="Arial"/>
                <w:szCs w:val="24"/>
              </w:rPr>
            </w:pPr>
          </w:p>
        </w:tc>
      </w:tr>
      <w:tr w:rsidR="007957D0" w:rsidRPr="00A3718D" w14:paraId="5B030E1A" w14:textId="77777777" w:rsidTr="00F91D0D">
        <w:tc>
          <w:tcPr>
            <w:tcW w:w="3005" w:type="dxa"/>
          </w:tcPr>
          <w:p w14:paraId="359C28C2" w14:textId="77777777" w:rsidR="007957D0" w:rsidRPr="00A3718D" w:rsidRDefault="007957D0" w:rsidP="00F91D0D">
            <w:pPr>
              <w:rPr>
                <w:rFonts w:cs="Arial"/>
                <w:szCs w:val="24"/>
              </w:rPr>
            </w:pPr>
            <w:r w:rsidRPr="00A3718D">
              <w:rPr>
                <w:rFonts w:cs="Arial"/>
                <w:szCs w:val="24"/>
              </w:rPr>
              <w:t>£19.45</w:t>
            </w:r>
          </w:p>
        </w:tc>
        <w:tc>
          <w:tcPr>
            <w:tcW w:w="3005" w:type="dxa"/>
          </w:tcPr>
          <w:p w14:paraId="42D464CE" w14:textId="77777777" w:rsidR="007957D0" w:rsidRPr="00A3718D" w:rsidRDefault="007957D0" w:rsidP="00F91D0D">
            <w:pPr>
              <w:rPr>
                <w:rFonts w:cs="Arial"/>
                <w:szCs w:val="24"/>
              </w:rPr>
            </w:pPr>
            <w:r w:rsidRPr="00A3718D">
              <w:rPr>
                <w:rFonts w:cs="Arial"/>
                <w:szCs w:val="24"/>
              </w:rPr>
              <w:t>£21.16</w:t>
            </w:r>
          </w:p>
        </w:tc>
        <w:tc>
          <w:tcPr>
            <w:tcW w:w="3006" w:type="dxa"/>
          </w:tcPr>
          <w:p w14:paraId="692C13DE" w14:textId="77777777" w:rsidR="007957D0" w:rsidRPr="00A3718D" w:rsidRDefault="007957D0" w:rsidP="00F91D0D">
            <w:pPr>
              <w:rPr>
                <w:rFonts w:cs="Arial"/>
                <w:szCs w:val="24"/>
              </w:rPr>
            </w:pPr>
            <w:r w:rsidRPr="00A3718D">
              <w:rPr>
                <w:rFonts w:cs="Arial"/>
                <w:szCs w:val="24"/>
              </w:rPr>
              <w:t>8.04%</w:t>
            </w:r>
          </w:p>
        </w:tc>
      </w:tr>
      <w:bookmarkEnd w:id="0"/>
    </w:tbl>
    <w:p w14:paraId="1F40EF36" w14:textId="77777777" w:rsidR="007957D0" w:rsidRPr="00A3718D" w:rsidRDefault="007957D0" w:rsidP="007957D0">
      <w:pPr>
        <w:rPr>
          <w:rFonts w:cs="Arial"/>
          <w:szCs w:val="24"/>
        </w:rPr>
      </w:pPr>
    </w:p>
    <w:p w14:paraId="1925B673" w14:textId="77777777" w:rsidR="007957D0" w:rsidRPr="00A3718D" w:rsidRDefault="007957D0" w:rsidP="007957D0">
      <w:pPr>
        <w:rPr>
          <w:rFonts w:cs="Arial"/>
          <w:szCs w:val="24"/>
        </w:rPr>
      </w:pPr>
      <w:r w:rsidRPr="00A3718D">
        <w:rPr>
          <w:rFonts w:cs="Arial"/>
          <w:szCs w:val="24"/>
        </w:rPr>
        <w:t xml:space="preserve">The mean average disability pay gap was 8.04%. For every £1.00 a </w:t>
      </w:r>
      <w:proofErr w:type="gramStart"/>
      <w:r w:rsidRPr="00A3718D">
        <w:rPr>
          <w:rFonts w:cs="Arial"/>
          <w:szCs w:val="24"/>
        </w:rPr>
        <w:t>Non-Disabled</w:t>
      </w:r>
      <w:proofErr w:type="gramEnd"/>
      <w:r w:rsidRPr="00A3718D">
        <w:rPr>
          <w:rFonts w:cs="Arial"/>
          <w:szCs w:val="24"/>
        </w:rPr>
        <w:t xml:space="preserve"> employee earns, on average a Disabled employee earns £0.92 (rounded to the nearest penny).</w:t>
      </w:r>
    </w:p>
    <w:p w14:paraId="56D5065C" w14:textId="77777777" w:rsidR="007957D0" w:rsidRDefault="007957D0" w:rsidP="007957D0">
      <w:pPr>
        <w:rPr>
          <w:rFonts w:cs="Arial"/>
          <w:szCs w:val="24"/>
        </w:rPr>
      </w:pPr>
    </w:p>
    <w:p w14:paraId="4561D42F" w14:textId="77777777" w:rsidR="007957D0" w:rsidRPr="00E00E1E" w:rsidRDefault="007957D0" w:rsidP="007957D0">
      <w:pPr>
        <w:rPr>
          <w:rFonts w:cs="Arial"/>
          <w:b/>
          <w:bCs/>
          <w:szCs w:val="24"/>
        </w:rPr>
      </w:pPr>
      <w:r w:rsidRPr="00E00E1E">
        <w:rPr>
          <w:rFonts w:cs="Arial"/>
          <w:b/>
          <w:bCs/>
          <w:szCs w:val="24"/>
        </w:rPr>
        <w:t>Median Disability Pay Gap</w:t>
      </w:r>
    </w:p>
    <w:p w14:paraId="5515E3F8" w14:textId="77777777" w:rsidR="007957D0" w:rsidRPr="00A3718D" w:rsidRDefault="007957D0" w:rsidP="007957D0">
      <w:pPr>
        <w:rPr>
          <w:rFonts w:cs="Arial"/>
          <w:szCs w:val="24"/>
        </w:rPr>
      </w:pPr>
      <w:r w:rsidRPr="00A3718D">
        <w:rPr>
          <w:rFonts w:cs="Arial"/>
          <w:szCs w:val="24"/>
        </w:rPr>
        <w:t xml:space="preserve">The median hourly rate for each disability group is calculated by ranking all employees by disability from the highest paid to the lowest paid and taking the hourly wage of the person in the middle. The median disability pay gap is the difference between the median hourly wage of Disabled employees and the median hourly wage of </w:t>
      </w:r>
      <w:proofErr w:type="gramStart"/>
      <w:r w:rsidRPr="00A3718D">
        <w:rPr>
          <w:rFonts w:cs="Arial"/>
          <w:szCs w:val="24"/>
        </w:rPr>
        <w:t>Non-Disabled</w:t>
      </w:r>
      <w:proofErr w:type="gramEnd"/>
      <w:r w:rsidRPr="00A3718D">
        <w:rPr>
          <w:rFonts w:cs="Arial"/>
          <w:szCs w:val="24"/>
        </w:rPr>
        <w:t xml:space="preserve"> employees.</w:t>
      </w:r>
      <w:r>
        <w:rPr>
          <w:rFonts w:cs="Arial"/>
          <w:szCs w:val="24"/>
        </w:rPr>
        <w:t xml:space="preserve"> </w:t>
      </w:r>
      <w:r w:rsidRPr="00A3718D">
        <w:rPr>
          <w:rFonts w:cs="Arial"/>
          <w:szCs w:val="24"/>
        </w:rPr>
        <w:t>NB “not known” and “prefer not to answer” values were excluded from the calculation.</w:t>
      </w:r>
    </w:p>
    <w:tbl>
      <w:tblPr>
        <w:tblStyle w:val="TableGrid"/>
        <w:tblW w:w="0" w:type="auto"/>
        <w:tblLook w:val="04A0" w:firstRow="1" w:lastRow="0" w:firstColumn="1" w:lastColumn="0" w:noHBand="0" w:noVBand="1"/>
      </w:tblPr>
      <w:tblGrid>
        <w:gridCol w:w="3005"/>
        <w:gridCol w:w="3005"/>
        <w:gridCol w:w="3006"/>
      </w:tblGrid>
      <w:tr w:rsidR="007957D0" w:rsidRPr="00A3718D" w14:paraId="34C2EACA" w14:textId="77777777" w:rsidTr="00F91D0D">
        <w:tc>
          <w:tcPr>
            <w:tcW w:w="6010" w:type="dxa"/>
            <w:gridSpan w:val="2"/>
            <w:shd w:val="clear" w:color="auto" w:fill="D9D9D9" w:themeFill="background1" w:themeFillShade="D9"/>
          </w:tcPr>
          <w:p w14:paraId="43D77337" w14:textId="77777777" w:rsidR="007957D0" w:rsidRPr="00A3718D" w:rsidRDefault="007957D0" w:rsidP="00F91D0D">
            <w:pPr>
              <w:rPr>
                <w:rFonts w:cs="Arial"/>
                <w:b/>
                <w:bCs/>
                <w:szCs w:val="24"/>
              </w:rPr>
            </w:pPr>
            <w:r w:rsidRPr="00A3718D">
              <w:rPr>
                <w:rFonts w:cs="Arial"/>
                <w:b/>
                <w:bCs/>
                <w:szCs w:val="24"/>
              </w:rPr>
              <w:t>Median Average Hourly Rate</w:t>
            </w:r>
          </w:p>
        </w:tc>
        <w:tc>
          <w:tcPr>
            <w:tcW w:w="3006" w:type="dxa"/>
            <w:vMerge w:val="restart"/>
            <w:shd w:val="clear" w:color="auto" w:fill="D9D9D9" w:themeFill="background1" w:themeFillShade="D9"/>
          </w:tcPr>
          <w:p w14:paraId="3B6BE1D1" w14:textId="77777777" w:rsidR="007957D0" w:rsidRPr="00A3718D" w:rsidRDefault="007957D0" w:rsidP="00F91D0D">
            <w:pPr>
              <w:rPr>
                <w:rFonts w:cs="Arial"/>
                <w:b/>
                <w:bCs/>
                <w:szCs w:val="24"/>
              </w:rPr>
            </w:pPr>
            <w:r w:rsidRPr="00A3718D">
              <w:rPr>
                <w:rFonts w:cs="Arial"/>
                <w:b/>
                <w:bCs/>
                <w:szCs w:val="24"/>
              </w:rPr>
              <w:t>Me</w:t>
            </w:r>
            <w:r>
              <w:rPr>
                <w:rFonts w:cs="Arial"/>
                <w:b/>
                <w:bCs/>
                <w:szCs w:val="24"/>
              </w:rPr>
              <w:t>dian</w:t>
            </w:r>
            <w:r w:rsidRPr="00A3718D">
              <w:rPr>
                <w:rFonts w:cs="Arial"/>
                <w:b/>
                <w:bCs/>
                <w:szCs w:val="24"/>
              </w:rPr>
              <w:t xml:space="preserve"> Average pay gap between Minority Ethnic and White Employees</w:t>
            </w:r>
          </w:p>
        </w:tc>
      </w:tr>
      <w:tr w:rsidR="007957D0" w:rsidRPr="00A3718D" w14:paraId="2C91E9AE" w14:textId="77777777" w:rsidTr="00F91D0D">
        <w:tc>
          <w:tcPr>
            <w:tcW w:w="3005" w:type="dxa"/>
          </w:tcPr>
          <w:p w14:paraId="34B61562" w14:textId="77777777" w:rsidR="007957D0" w:rsidRPr="00A3718D" w:rsidRDefault="007957D0" w:rsidP="00F91D0D">
            <w:pPr>
              <w:rPr>
                <w:rFonts w:cs="Arial"/>
                <w:szCs w:val="24"/>
              </w:rPr>
            </w:pPr>
            <w:r w:rsidRPr="00A3718D">
              <w:rPr>
                <w:rFonts w:cs="Arial"/>
                <w:szCs w:val="24"/>
              </w:rPr>
              <w:t>Disabled</w:t>
            </w:r>
          </w:p>
        </w:tc>
        <w:tc>
          <w:tcPr>
            <w:tcW w:w="3005" w:type="dxa"/>
          </w:tcPr>
          <w:p w14:paraId="485F2DD0" w14:textId="77777777" w:rsidR="007957D0" w:rsidRPr="00A3718D" w:rsidRDefault="007957D0" w:rsidP="00F91D0D">
            <w:pPr>
              <w:rPr>
                <w:rFonts w:cs="Arial"/>
                <w:szCs w:val="24"/>
              </w:rPr>
            </w:pPr>
            <w:r w:rsidRPr="00A3718D">
              <w:rPr>
                <w:rFonts w:cs="Arial"/>
                <w:szCs w:val="24"/>
              </w:rPr>
              <w:t>Not Disabled</w:t>
            </w:r>
          </w:p>
        </w:tc>
        <w:tc>
          <w:tcPr>
            <w:tcW w:w="3006" w:type="dxa"/>
            <w:vMerge/>
          </w:tcPr>
          <w:p w14:paraId="066D5CE8" w14:textId="77777777" w:rsidR="007957D0" w:rsidRPr="00A3718D" w:rsidRDefault="007957D0" w:rsidP="00F91D0D">
            <w:pPr>
              <w:rPr>
                <w:rFonts w:cs="Arial"/>
                <w:szCs w:val="24"/>
              </w:rPr>
            </w:pPr>
          </w:p>
        </w:tc>
      </w:tr>
      <w:tr w:rsidR="007957D0" w:rsidRPr="00A3718D" w14:paraId="4AF4C43B" w14:textId="77777777" w:rsidTr="00F91D0D">
        <w:tc>
          <w:tcPr>
            <w:tcW w:w="3005" w:type="dxa"/>
          </w:tcPr>
          <w:p w14:paraId="74BE70EE" w14:textId="77777777" w:rsidR="007957D0" w:rsidRPr="00A3718D" w:rsidRDefault="007957D0" w:rsidP="00F91D0D">
            <w:pPr>
              <w:rPr>
                <w:rFonts w:cs="Arial"/>
                <w:szCs w:val="24"/>
              </w:rPr>
            </w:pPr>
            <w:r w:rsidRPr="00A3718D">
              <w:rPr>
                <w:rFonts w:cs="Arial"/>
                <w:szCs w:val="24"/>
              </w:rPr>
              <w:t>£17.55</w:t>
            </w:r>
          </w:p>
        </w:tc>
        <w:tc>
          <w:tcPr>
            <w:tcW w:w="3005" w:type="dxa"/>
          </w:tcPr>
          <w:p w14:paraId="48FF478E" w14:textId="77777777" w:rsidR="007957D0" w:rsidRPr="00A3718D" w:rsidRDefault="007957D0" w:rsidP="00F91D0D">
            <w:pPr>
              <w:rPr>
                <w:rFonts w:cs="Arial"/>
                <w:szCs w:val="24"/>
              </w:rPr>
            </w:pPr>
            <w:r w:rsidRPr="00A3718D">
              <w:rPr>
                <w:rFonts w:cs="Arial"/>
                <w:szCs w:val="24"/>
              </w:rPr>
              <w:t>£18.52</w:t>
            </w:r>
          </w:p>
        </w:tc>
        <w:tc>
          <w:tcPr>
            <w:tcW w:w="3006" w:type="dxa"/>
          </w:tcPr>
          <w:p w14:paraId="0468FE69" w14:textId="77777777" w:rsidR="007957D0" w:rsidRPr="00A3718D" w:rsidRDefault="007957D0" w:rsidP="00F91D0D">
            <w:pPr>
              <w:rPr>
                <w:rFonts w:cs="Arial"/>
                <w:szCs w:val="24"/>
              </w:rPr>
            </w:pPr>
            <w:r w:rsidRPr="00A3718D">
              <w:rPr>
                <w:rFonts w:cs="Arial"/>
                <w:szCs w:val="24"/>
              </w:rPr>
              <w:t>5.24%</w:t>
            </w:r>
          </w:p>
        </w:tc>
      </w:tr>
    </w:tbl>
    <w:p w14:paraId="2B18ED37" w14:textId="77777777" w:rsidR="007957D0" w:rsidRPr="00A3718D" w:rsidRDefault="007957D0" w:rsidP="007957D0">
      <w:pPr>
        <w:rPr>
          <w:rFonts w:cs="Arial"/>
          <w:szCs w:val="24"/>
        </w:rPr>
      </w:pPr>
    </w:p>
    <w:p w14:paraId="76513264" w14:textId="77777777" w:rsidR="007957D0" w:rsidRPr="00A3718D" w:rsidRDefault="007957D0" w:rsidP="007957D0">
      <w:pPr>
        <w:rPr>
          <w:rFonts w:cs="Arial"/>
          <w:szCs w:val="24"/>
        </w:rPr>
      </w:pPr>
      <w:r w:rsidRPr="00A3718D">
        <w:rPr>
          <w:rFonts w:cs="Arial"/>
          <w:szCs w:val="24"/>
        </w:rPr>
        <w:t xml:space="preserve">The median average hourly rate of pay for Disabled employees at the report date was £17.55. The median average hourly rate of pay for </w:t>
      </w:r>
      <w:proofErr w:type="gramStart"/>
      <w:r w:rsidRPr="00A3718D">
        <w:rPr>
          <w:rFonts w:cs="Arial"/>
          <w:szCs w:val="24"/>
        </w:rPr>
        <w:t>Non Disabled</w:t>
      </w:r>
      <w:proofErr w:type="gramEnd"/>
      <w:r w:rsidRPr="00A3718D">
        <w:rPr>
          <w:rFonts w:cs="Arial"/>
          <w:szCs w:val="24"/>
        </w:rPr>
        <w:t xml:space="preserve"> employees was also £18.52.  The median disability pay gap was 5.24%. For every £1.00 a </w:t>
      </w:r>
      <w:proofErr w:type="gramStart"/>
      <w:r w:rsidRPr="00A3718D">
        <w:rPr>
          <w:rFonts w:cs="Arial"/>
          <w:szCs w:val="24"/>
        </w:rPr>
        <w:t>Non-Disabled</w:t>
      </w:r>
      <w:proofErr w:type="gramEnd"/>
      <w:r w:rsidRPr="00A3718D">
        <w:rPr>
          <w:rFonts w:cs="Arial"/>
          <w:szCs w:val="24"/>
        </w:rPr>
        <w:t xml:space="preserve"> employee earns, on average a Disabled employee earns £0.95 (rounded to the nearest penny).</w:t>
      </w:r>
    </w:p>
    <w:p w14:paraId="771B909A" w14:textId="77777777" w:rsidR="006A7A0F" w:rsidRPr="00C555A0" w:rsidRDefault="006A7A0F" w:rsidP="00C555A0">
      <w:pPr>
        <w:rPr>
          <w:rFonts w:cs="Arial"/>
          <w:b/>
        </w:rPr>
      </w:pPr>
    </w:p>
    <w:sectPr w:rsidR="006A7A0F" w:rsidRPr="00C555A0" w:rsidSect="00A567D6">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4AB9" w14:textId="77777777" w:rsidR="00F21FC2" w:rsidRDefault="00F21FC2" w:rsidP="00F3647F">
      <w:r>
        <w:separator/>
      </w:r>
    </w:p>
  </w:endnote>
  <w:endnote w:type="continuationSeparator" w:id="0">
    <w:p w14:paraId="2059A8CE" w14:textId="77777777" w:rsidR="00F21FC2" w:rsidRDefault="00F21FC2" w:rsidP="00F3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5C65" w14:textId="77777777" w:rsidR="00F21FC2" w:rsidRDefault="00F21FC2" w:rsidP="00F3647F">
      <w:r>
        <w:separator/>
      </w:r>
    </w:p>
  </w:footnote>
  <w:footnote w:type="continuationSeparator" w:id="0">
    <w:p w14:paraId="07E5F1FA" w14:textId="77777777" w:rsidR="00F21FC2" w:rsidRDefault="00F21FC2" w:rsidP="00F3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BE8A" w14:textId="77777777" w:rsidR="001B36BD" w:rsidRDefault="001B36BD" w:rsidP="00F3647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8C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BEF8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4C81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0D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C6C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629A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626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21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89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88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5775A"/>
    <w:multiLevelType w:val="multilevel"/>
    <w:tmpl w:val="32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90AF7"/>
    <w:multiLevelType w:val="hybridMultilevel"/>
    <w:tmpl w:val="3B187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1E6B5D"/>
    <w:multiLevelType w:val="hybridMultilevel"/>
    <w:tmpl w:val="5A3C1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7F4B09"/>
    <w:multiLevelType w:val="multilevel"/>
    <w:tmpl w:val="BB86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9C7064"/>
    <w:multiLevelType w:val="hybridMultilevel"/>
    <w:tmpl w:val="12000DCA"/>
    <w:lvl w:ilvl="0" w:tplc="F76EEEA6">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C05F3E"/>
    <w:multiLevelType w:val="hybridMultilevel"/>
    <w:tmpl w:val="FBCECD3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29FC539D"/>
    <w:multiLevelType w:val="hybridMultilevel"/>
    <w:tmpl w:val="F2541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BB0AC4"/>
    <w:multiLevelType w:val="hybridMultilevel"/>
    <w:tmpl w:val="50BA3E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1A67D15"/>
    <w:multiLevelType w:val="hybridMultilevel"/>
    <w:tmpl w:val="EAFC5654"/>
    <w:lvl w:ilvl="0" w:tplc="F76EEEA6">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2D63DE"/>
    <w:multiLevelType w:val="hybridMultilevel"/>
    <w:tmpl w:val="FF7A83AA"/>
    <w:lvl w:ilvl="0" w:tplc="B222744C">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8705376"/>
    <w:multiLevelType w:val="multilevel"/>
    <w:tmpl w:val="9C6A10E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4A0852"/>
    <w:multiLevelType w:val="hybridMultilevel"/>
    <w:tmpl w:val="E914328A"/>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2"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1697"/>
        </w:tabs>
        <w:ind w:left="1697"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9906CE1"/>
    <w:multiLevelType w:val="hybridMultilevel"/>
    <w:tmpl w:val="8CE838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15:restartNumberingAfterBreak="0">
    <w:nsid w:val="4EF608B4"/>
    <w:multiLevelType w:val="hybridMultilevel"/>
    <w:tmpl w:val="4712E5B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562E7166"/>
    <w:multiLevelType w:val="multilevel"/>
    <w:tmpl w:val="49FE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DE36E2"/>
    <w:multiLevelType w:val="hybridMultilevel"/>
    <w:tmpl w:val="6B62E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866F45"/>
    <w:multiLevelType w:val="hybridMultilevel"/>
    <w:tmpl w:val="D3C23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514DCA"/>
    <w:multiLevelType w:val="hybridMultilevel"/>
    <w:tmpl w:val="D9203AAE"/>
    <w:lvl w:ilvl="0" w:tplc="F76EEEA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82808"/>
    <w:multiLevelType w:val="hybridMultilevel"/>
    <w:tmpl w:val="078288C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74099FBD"/>
    <w:multiLevelType w:val="hybridMultilevel"/>
    <w:tmpl w:val="717BF4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2148301">
    <w:abstractNumId w:val="22"/>
  </w:num>
  <w:num w:numId="2" w16cid:durableId="1147894015">
    <w:abstractNumId w:val="9"/>
  </w:num>
  <w:num w:numId="3" w16cid:durableId="1936327255">
    <w:abstractNumId w:val="7"/>
  </w:num>
  <w:num w:numId="4" w16cid:durableId="859008927">
    <w:abstractNumId w:val="6"/>
  </w:num>
  <w:num w:numId="5" w16cid:durableId="1542285352">
    <w:abstractNumId w:val="5"/>
  </w:num>
  <w:num w:numId="6" w16cid:durableId="1068185364">
    <w:abstractNumId w:val="4"/>
  </w:num>
  <w:num w:numId="7" w16cid:durableId="639843674">
    <w:abstractNumId w:val="8"/>
  </w:num>
  <w:num w:numId="8" w16cid:durableId="1788156805">
    <w:abstractNumId w:val="3"/>
  </w:num>
  <w:num w:numId="9" w16cid:durableId="1531600939">
    <w:abstractNumId w:val="2"/>
  </w:num>
  <w:num w:numId="10" w16cid:durableId="257445052">
    <w:abstractNumId w:val="1"/>
  </w:num>
  <w:num w:numId="11" w16cid:durableId="1818952443">
    <w:abstractNumId w:val="0"/>
  </w:num>
  <w:num w:numId="12" w16cid:durableId="1186291702">
    <w:abstractNumId w:val="30"/>
  </w:num>
  <w:num w:numId="13" w16cid:durableId="1799564393">
    <w:abstractNumId w:val="11"/>
  </w:num>
  <w:num w:numId="14" w16cid:durableId="624625640">
    <w:abstractNumId w:val="23"/>
  </w:num>
  <w:num w:numId="15" w16cid:durableId="841552731">
    <w:abstractNumId w:val="29"/>
  </w:num>
  <w:num w:numId="16" w16cid:durableId="1161235246">
    <w:abstractNumId w:val="27"/>
  </w:num>
  <w:num w:numId="17" w16cid:durableId="441415184">
    <w:abstractNumId w:val="21"/>
  </w:num>
  <w:num w:numId="18" w16cid:durableId="1590918739">
    <w:abstractNumId w:val="12"/>
  </w:num>
  <w:num w:numId="19" w16cid:durableId="337848845">
    <w:abstractNumId w:val="24"/>
  </w:num>
  <w:num w:numId="20" w16cid:durableId="60252582">
    <w:abstractNumId w:val="26"/>
  </w:num>
  <w:num w:numId="21" w16cid:durableId="1924220923">
    <w:abstractNumId w:val="16"/>
  </w:num>
  <w:num w:numId="22" w16cid:durableId="1718015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9320654">
    <w:abstractNumId w:val="19"/>
  </w:num>
  <w:num w:numId="24" w16cid:durableId="904334883">
    <w:abstractNumId w:val="22"/>
  </w:num>
  <w:num w:numId="25" w16cid:durableId="824470974">
    <w:abstractNumId w:val="17"/>
  </w:num>
  <w:num w:numId="26" w16cid:durableId="1780030994">
    <w:abstractNumId w:val="13"/>
  </w:num>
  <w:num w:numId="27" w16cid:durableId="141771826">
    <w:abstractNumId w:val="25"/>
  </w:num>
  <w:num w:numId="28" w16cid:durableId="1922523611">
    <w:abstractNumId w:val="28"/>
  </w:num>
  <w:num w:numId="29" w16cid:durableId="831212926">
    <w:abstractNumId w:val="18"/>
  </w:num>
  <w:num w:numId="30" w16cid:durableId="176042636">
    <w:abstractNumId w:val="14"/>
  </w:num>
  <w:num w:numId="31" w16cid:durableId="1392268945">
    <w:abstractNumId w:val="15"/>
  </w:num>
  <w:num w:numId="32" w16cid:durableId="1152796422">
    <w:abstractNumId w:val="22"/>
  </w:num>
  <w:num w:numId="33" w16cid:durableId="704673335">
    <w:abstractNumId w:val="22"/>
  </w:num>
  <w:num w:numId="34" w16cid:durableId="1211916681">
    <w:abstractNumId w:val="22"/>
  </w:num>
  <w:num w:numId="35" w16cid:durableId="52581011">
    <w:abstractNumId w:val="22"/>
  </w:num>
  <w:num w:numId="36" w16cid:durableId="222524900">
    <w:abstractNumId w:val="22"/>
  </w:num>
  <w:num w:numId="37" w16cid:durableId="571238834">
    <w:abstractNumId w:val="22"/>
  </w:num>
  <w:num w:numId="38" w16cid:durableId="1420640002">
    <w:abstractNumId w:val="22"/>
  </w:num>
  <w:num w:numId="39" w16cid:durableId="389691808">
    <w:abstractNumId w:val="20"/>
  </w:num>
  <w:num w:numId="40" w16cid:durableId="961107282">
    <w:abstractNumId w:val="10"/>
  </w:num>
  <w:num w:numId="41" w16cid:durableId="1328897646">
    <w:abstractNumId w:val="22"/>
  </w:num>
  <w:num w:numId="42" w16cid:durableId="1875121237">
    <w:abstractNumId w:val="22"/>
    <w:lvlOverride w:ilvl="0">
      <w:startOverride w:val="2"/>
    </w:lvlOverride>
    <w:lvlOverride w:ilvl="1">
      <w:startOverride w:val="1"/>
    </w:lvlOverride>
  </w:num>
  <w:num w:numId="43" w16cid:durableId="271591498">
    <w:abstractNumId w:val="2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3B"/>
    <w:rsid w:val="000028DE"/>
    <w:rsid w:val="00006456"/>
    <w:rsid w:val="00007AB2"/>
    <w:rsid w:val="00011024"/>
    <w:rsid w:val="00021D66"/>
    <w:rsid w:val="0002705D"/>
    <w:rsid w:val="000317EE"/>
    <w:rsid w:val="000505A2"/>
    <w:rsid w:val="0006746C"/>
    <w:rsid w:val="000960A9"/>
    <w:rsid w:val="000A4869"/>
    <w:rsid w:val="000B4817"/>
    <w:rsid w:val="000D058B"/>
    <w:rsid w:val="000E49E4"/>
    <w:rsid w:val="000E623A"/>
    <w:rsid w:val="000F1309"/>
    <w:rsid w:val="000F7F91"/>
    <w:rsid w:val="00101200"/>
    <w:rsid w:val="00106506"/>
    <w:rsid w:val="001075FF"/>
    <w:rsid w:val="0013202C"/>
    <w:rsid w:val="00132BF8"/>
    <w:rsid w:val="00142BB0"/>
    <w:rsid w:val="00145866"/>
    <w:rsid w:val="001460B6"/>
    <w:rsid w:val="00146790"/>
    <w:rsid w:val="00153CEE"/>
    <w:rsid w:val="00157358"/>
    <w:rsid w:val="001702F5"/>
    <w:rsid w:val="001738D0"/>
    <w:rsid w:val="00186B8C"/>
    <w:rsid w:val="0019006B"/>
    <w:rsid w:val="0019352F"/>
    <w:rsid w:val="001A3FAB"/>
    <w:rsid w:val="001B36BD"/>
    <w:rsid w:val="001D2CFC"/>
    <w:rsid w:val="001D581F"/>
    <w:rsid w:val="001F6708"/>
    <w:rsid w:val="00240BE1"/>
    <w:rsid w:val="002420D7"/>
    <w:rsid w:val="00251FCD"/>
    <w:rsid w:val="00260FB8"/>
    <w:rsid w:val="002630C7"/>
    <w:rsid w:val="00263881"/>
    <w:rsid w:val="00264A6F"/>
    <w:rsid w:val="002654C5"/>
    <w:rsid w:val="00265E7A"/>
    <w:rsid w:val="00266018"/>
    <w:rsid w:val="00267EBE"/>
    <w:rsid w:val="00271F4E"/>
    <w:rsid w:val="00272535"/>
    <w:rsid w:val="0027412E"/>
    <w:rsid w:val="0028584C"/>
    <w:rsid w:val="0029019C"/>
    <w:rsid w:val="002A4923"/>
    <w:rsid w:val="002A6553"/>
    <w:rsid w:val="002B1AB4"/>
    <w:rsid w:val="002B7DA6"/>
    <w:rsid w:val="002C1859"/>
    <w:rsid w:val="002E027B"/>
    <w:rsid w:val="002F03C6"/>
    <w:rsid w:val="002F04AE"/>
    <w:rsid w:val="003146E8"/>
    <w:rsid w:val="003201EF"/>
    <w:rsid w:val="00321F1D"/>
    <w:rsid w:val="003278E3"/>
    <w:rsid w:val="00330A1A"/>
    <w:rsid w:val="00332F3F"/>
    <w:rsid w:val="00344EEE"/>
    <w:rsid w:val="00346CD9"/>
    <w:rsid w:val="00381B1F"/>
    <w:rsid w:val="00385104"/>
    <w:rsid w:val="00391030"/>
    <w:rsid w:val="00394F96"/>
    <w:rsid w:val="003A3BAC"/>
    <w:rsid w:val="003B34E2"/>
    <w:rsid w:val="003B565B"/>
    <w:rsid w:val="003C21E9"/>
    <w:rsid w:val="003C47B4"/>
    <w:rsid w:val="003C544C"/>
    <w:rsid w:val="003D0B9D"/>
    <w:rsid w:val="003D1618"/>
    <w:rsid w:val="003F20F5"/>
    <w:rsid w:val="003F2730"/>
    <w:rsid w:val="003F34E4"/>
    <w:rsid w:val="003F5434"/>
    <w:rsid w:val="00406ACC"/>
    <w:rsid w:val="004206DF"/>
    <w:rsid w:val="00423375"/>
    <w:rsid w:val="00440900"/>
    <w:rsid w:val="004518CA"/>
    <w:rsid w:val="0046695F"/>
    <w:rsid w:val="00471844"/>
    <w:rsid w:val="00472C9D"/>
    <w:rsid w:val="004757C1"/>
    <w:rsid w:val="00483D9F"/>
    <w:rsid w:val="00491D21"/>
    <w:rsid w:val="00492FF9"/>
    <w:rsid w:val="004A736C"/>
    <w:rsid w:val="004D639B"/>
    <w:rsid w:val="004E658B"/>
    <w:rsid w:val="004F1E39"/>
    <w:rsid w:val="004F48D6"/>
    <w:rsid w:val="004F53A4"/>
    <w:rsid w:val="0050201D"/>
    <w:rsid w:val="0050203C"/>
    <w:rsid w:val="00506476"/>
    <w:rsid w:val="00510AE4"/>
    <w:rsid w:val="00511027"/>
    <w:rsid w:val="00515775"/>
    <w:rsid w:val="00517126"/>
    <w:rsid w:val="00521B30"/>
    <w:rsid w:val="0052744B"/>
    <w:rsid w:val="005325C9"/>
    <w:rsid w:val="00540119"/>
    <w:rsid w:val="00541072"/>
    <w:rsid w:val="00544EAE"/>
    <w:rsid w:val="005465CE"/>
    <w:rsid w:val="005501A9"/>
    <w:rsid w:val="00553628"/>
    <w:rsid w:val="00561D00"/>
    <w:rsid w:val="00574145"/>
    <w:rsid w:val="00594E72"/>
    <w:rsid w:val="005A012A"/>
    <w:rsid w:val="005A0E72"/>
    <w:rsid w:val="005A5A2E"/>
    <w:rsid w:val="005A7B62"/>
    <w:rsid w:val="005B1452"/>
    <w:rsid w:val="005B513F"/>
    <w:rsid w:val="005B5FFD"/>
    <w:rsid w:val="005D4C9F"/>
    <w:rsid w:val="005D6FF2"/>
    <w:rsid w:val="006015A7"/>
    <w:rsid w:val="006039A0"/>
    <w:rsid w:val="00604236"/>
    <w:rsid w:val="00611AE2"/>
    <w:rsid w:val="00613895"/>
    <w:rsid w:val="00647DC0"/>
    <w:rsid w:val="00650EAC"/>
    <w:rsid w:val="006524DF"/>
    <w:rsid w:val="0065733B"/>
    <w:rsid w:val="00667FDF"/>
    <w:rsid w:val="00692CF9"/>
    <w:rsid w:val="00694ED6"/>
    <w:rsid w:val="00695345"/>
    <w:rsid w:val="006A01EF"/>
    <w:rsid w:val="006A5870"/>
    <w:rsid w:val="006A58F7"/>
    <w:rsid w:val="006A7A0F"/>
    <w:rsid w:val="006B09D3"/>
    <w:rsid w:val="006C0454"/>
    <w:rsid w:val="006D2A81"/>
    <w:rsid w:val="006D5991"/>
    <w:rsid w:val="006E1CC9"/>
    <w:rsid w:val="006E39C5"/>
    <w:rsid w:val="006E3C0F"/>
    <w:rsid w:val="006F07FD"/>
    <w:rsid w:val="006F2EB5"/>
    <w:rsid w:val="006F2EBB"/>
    <w:rsid w:val="006F6064"/>
    <w:rsid w:val="00702A0C"/>
    <w:rsid w:val="00711A6A"/>
    <w:rsid w:val="007125C8"/>
    <w:rsid w:val="007214B8"/>
    <w:rsid w:val="007270CB"/>
    <w:rsid w:val="007317A5"/>
    <w:rsid w:val="0073498B"/>
    <w:rsid w:val="0074204F"/>
    <w:rsid w:val="00743E6D"/>
    <w:rsid w:val="007518CA"/>
    <w:rsid w:val="00766574"/>
    <w:rsid w:val="007729E4"/>
    <w:rsid w:val="00777834"/>
    <w:rsid w:val="00786F7F"/>
    <w:rsid w:val="0079267B"/>
    <w:rsid w:val="0079381B"/>
    <w:rsid w:val="007957D0"/>
    <w:rsid w:val="007A3AB2"/>
    <w:rsid w:val="007A425E"/>
    <w:rsid w:val="007C3D95"/>
    <w:rsid w:val="007E6A2B"/>
    <w:rsid w:val="00800122"/>
    <w:rsid w:val="00807F05"/>
    <w:rsid w:val="0083193B"/>
    <w:rsid w:val="00831C6A"/>
    <w:rsid w:val="008412EE"/>
    <w:rsid w:val="00842BEA"/>
    <w:rsid w:val="008871A9"/>
    <w:rsid w:val="00890D5C"/>
    <w:rsid w:val="0089595C"/>
    <w:rsid w:val="00897AA5"/>
    <w:rsid w:val="008A34FC"/>
    <w:rsid w:val="008C3BD0"/>
    <w:rsid w:val="008C6EFA"/>
    <w:rsid w:val="008D3B1C"/>
    <w:rsid w:val="008E3625"/>
    <w:rsid w:val="008F533E"/>
    <w:rsid w:val="008F6FBD"/>
    <w:rsid w:val="00912F47"/>
    <w:rsid w:val="00914BCE"/>
    <w:rsid w:val="0091706A"/>
    <w:rsid w:val="00927632"/>
    <w:rsid w:val="00952BD5"/>
    <w:rsid w:val="009575FD"/>
    <w:rsid w:val="00966FAA"/>
    <w:rsid w:val="00972820"/>
    <w:rsid w:val="00975816"/>
    <w:rsid w:val="00993EB6"/>
    <w:rsid w:val="009A68B2"/>
    <w:rsid w:val="009E0D48"/>
    <w:rsid w:val="009E2998"/>
    <w:rsid w:val="009E4960"/>
    <w:rsid w:val="009F155D"/>
    <w:rsid w:val="00A27C66"/>
    <w:rsid w:val="00A30429"/>
    <w:rsid w:val="00A30FB2"/>
    <w:rsid w:val="00A32BAE"/>
    <w:rsid w:val="00A33FBA"/>
    <w:rsid w:val="00A45F60"/>
    <w:rsid w:val="00A55CE7"/>
    <w:rsid w:val="00A567D6"/>
    <w:rsid w:val="00A570C5"/>
    <w:rsid w:val="00A6288D"/>
    <w:rsid w:val="00A77BCB"/>
    <w:rsid w:val="00A80613"/>
    <w:rsid w:val="00A811DC"/>
    <w:rsid w:val="00AA1A46"/>
    <w:rsid w:val="00AA6E7A"/>
    <w:rsid w:val="00AB0261"/>
    <w:rsid w:val="00AC04D1"/>
    <w:rsid w:val="00AD7F79"/>
    <w:rsid w:val="00AE0CA5"/>
    <w:rsid w:val="00AE6338"/>
    <w:rsid w:val="00AF620A"/>
    <w:rsid w:val="00B22E0A"/>
    <w:rsid w:val="00B30EA3"/>
    <w:rsid w:val="00B40EC5"/>
    <w:rsid w:val="00B43C92"/>
    <w:rsid w:val="00B51C57"/>
    <w:rsid w:val="00B523D1"/>
    <w:rsid w:val="00B53ED8"/>
    <w:rsid w:val="00B54249"/>
    <w:rsid w:val="00B54D64"/>
    <w:rsid w:val="00B6405B"/>
    <w:rsid w:val="00B679A8"/>
    <w:rsid w:val="00B83C1B"/>
    <w:rsid w:val="00B90292"/>
    <w:rsid w:val="00B95AFC"/>
    <w:rsid w:val="00BB0088"/>
    <w:rsid w:val="00BD033B"/>
    <w:rsid w:val="00BE1728"/>
    <w:rsid w:val="00BE373A"/>
    <w:rsid w:val="00BE7E77"/>
    <w:rsid w:val="00C01F23"/>
    <w:rsid w:val="00C1094A"/>
    <w:rsid w:val="00C35661"/>
    <w:rsid w:val="00C3686A"/>
    <w:rsid w:val="00C376C2"/>
    <w:rsid w:val="00C466FD"/>
    <w:rsid w:val="00C47421"/>
    <w:rsid w:val="00C555A0"/>
    <w:rsid w:val="00C718CD"/>
    <w:rsid w:val="00C8443C"/>
    <w:rsid w:val="00C942F3"/>
    <w:rsid w:val="00CB2B3A"/>
    <w:rsid w:val="00CD2F25"/>
    <w:rsid w:val="00CF5BE4"/>
    <w:rsid w:val="00D018DD"/>
    <w:rsid w:val="00D05504"/>
    <w:rsid w:val="00D128E0"/>
    <w:rsid w:val="00D146E5"/>
    <w:rsid w:val="00D22640"/>
    <w:rsid w:val="00D22720"/>
    <w:rsid w:val="00D37751"/>
    <w:rsid w:val="00D41B48"/>
    <w:rsid w:val="00D42943"/>
    <w:rsid w:val="00D43AC2"/>
    <w:rsid w:val="00D617CA"/>
    <w:rsid w:val="00D64A4B"/>
    <w:rsid w:val="00D76A61"/>
    <w:rsid w:val="00D7764A"/>
    <w:rsid w:val="00D82619"/>
    <w:rsid w:val="00D844DE"/>
    <w:rsid w:val="00D921E6"/>
    <w:rsid w:val="00D9375B"/>
    <w:rsid w:val="00DA2A27"/>
    <w:rsid w:val="00DA699F"/>
    <w:rsid w:val="00DB3431"/>
    <w:rsid w:val="00DC2517"/>
    <w:rsid w:val="00DC285F"/>
    <w:rsid w:val="00DC3835"/>
    <w:rsid w:val="00DD3181"/>
    <w:rsid w:val="00DD51AB"/>
    <w:rsid w:val="00DE07E5"/>
    <w:rsid w:val="00DE7022"/>
    <w:rsid w:val="00E017DE"/>
    <w:rsid w:val="00E13CF6"/>
    <w:rsid w:val="00E15398"/>
    <w:rsid w:val="00E16CAF"/>
    <w:rsid w:val="00E21B8F"/>
    <w:rsid w:val="00E30602"/>
    <w:rsid w:val="00E4643D"/>
    <w:rsid w:val="00E51109"/>
    <w:rsid w:val="00E74182"/>
    <w:rsid w:val="00E82D9B"/>
    <w:rsid w:val="00E8333F"/>
    <w:rsid w:val="00E8614F"/>
    <w:rsid w:val="00E92D10"/>
    <w:rsid w:val="00EA0713"/>
    <w:rsid w:val="00EA2222"/>
    <w:rsid w:val="00EB2FCD"/>
    <w:rsid w:val="00EB548A"/>
    <w:rsid w:val="00EC02A0"/>
    <w:rsid w:val="00EC3460"/>
    <w:rsid w:val="00ED090F"/>
    <w:rsid w:val="00ED5D15"/>
    <w:rsid w:val="00EE7D38"/>
    <w:rsid w:val="00EF5310"/>
    <w:rsid w:val="00F1593E"/>
    <w:rsid w:val="00F21FC2"/>
    <w:rsid w:val="00F228A7"/>
    <w:rsid w:val="00F23B6B"/>
    <w:rsid w:val="00F277C1"/>
    <w:rsid w:val="00F27F98"/>
    <w:rsid w:val="00F3647F"/>
    <w:rsid w:val="00F40A9A"/>
    <w:rsid w:val="00F411D7"/>
    <w:rsid w:val="00F42E3C"/>
    <w:rsid w:val="00F43637"/>
    <w:rsid w:val="00F4413D"/>
    <w:rsid w:val="00F45AA2"/>
    <w:rsid w:val="00F52449"/>
    <w:rsid w:val="00F609D8"/>
    <w:rsid w:val="00F6221E"/>
    <w:rsid w:val="00F73D96"/>
    <w:rsid w:val="00F7754D"/>
    <w:rsid w:val="00F90027"/>
    <w:rsid w:val="00FB13D9"/>
    <w:rsid w:val="00FB474D"/>
    <w:rsid w:val="00FB55A7"/>
    <w:rsid w:val="00FD133E"/>
    <w:rsid w:val="00FD6B7A"/>
    <w:rsid w:val="00FE3B5E"/>
    <w:rsid w:val="00FF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B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61"/>
    <w:rPr>
      <w:rFonts w:ascii="Arial" w:hAnsi="Arial"/>
      <w:sz w:val="24"/>
      <w:lang w:eastAsia="en-US"/>
    </w:rPr>
  </w:style>
  <w:style w:type="paragraph" w:styleId="Heading1">
    <w:name w:val="heading 1"/>
    <w:basedOn w:val="Normal"/>
    <w:next w:val="Normal"/>
    <w:qFormat/>
    <w:pPr>
      <w:keepNext/>
      <w:spacing w:after="600"/>
      <w:jc w:val="center"/>
      <w:outlineLvl w:val="0"/>
    </w:pPr>
    <w:rPr>
      <w:b/>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C-ParaTitle2">
    <w:name w:val="ELC - Para Title2"/>
    <w:basedOn w:val="ELC-ParaTitle"/>
    <w:pPr>
      <w:numPr>
        <w:ilvl w:val="1"/>
      </w:numPr>
      <w:tabs>
        <w:tab w:val="clear" w:pos="1697"/>
        <w:tab w:val="num" w:pos="420"/>
      </w:tabs>
      <w:ind w:left="420"/>
    </w:pPr>
    <w:rPr>
      <w:b w:val="0"/>
      <w:bCs/>
    </w:rPr>
  </w:style>
  <w:style w:type="paragraph" w:customStyle="1" w:styleId="ELC-Title">
    <w:name w:val="ELC-Title"/>
    <w:basedOn w:val="Normal"/>
    <w:pPr>
      <w:ind w:right="1134"/>
    </w:pPr>
    <w:rPr>
      <w:b/>
      <w:caps/>
    </w:rPr>
  </w:style>
  <w:style w:type="paragraph" w:customStyle="1" w:styleId="B1">
    <w:name w:val="B1"/>
    <w:basedOn w:val="Normal"/>
    <w:pPr>
      <w:tabs>
        <w:tab w:val="num" w:pos="720"/>
      </w:tabs>
      <w:ind w:left="360"/>
    </w:pPr>
    <w:rPr>
      <w:sz w:val="28"/>
    </w:rPr>
  </w:style>
  <w:style w:type="paragraph" w:customStyle="1" w:styleId="About">
    <w:name w:val="About"/>
    <w:basedOn w:val="Heading2"/>
  </w:style>
  <w:style w:type="paragraph" w:customStyle="1" w:styleId="AboutThis">
    <w:name w:val="AboutThis"/>
    <w:basedOn w:val="Heading1"/>
  </w:style>
  <w:style w:type="paragraph" w:styleId="BodyText">
    <w:name w:val="Body Text"/>
    <w:basedOn w:val="Normal"/>
    <w:semiHidden/>
    <w:pPr>
      <w:jc w:val="center"/>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Copyright">
    <w:name w:val="Copyright"/>
    <w:basedOn w:val="Heading1"/>
  </w:style>
  <w:style w:type="paragraph" w:customStyle="1" w:styleId="CourseTitle">
    <w:name w:val="Course Title"/>
    <w:basedOn w:val="Normal"/>
    <w:pPr>
      <w:jc w:val="center"/>
    </w:pPr>
    <w:rPr>
      <w:sz w:val="72"/>
    </w:rPr>
  </w:style>
  <w:style w:type="paragraph" w:customStyle="1" w:styleId="CourseDetails">
    <w:name w:val="CourseDetails"/>
    <w:basedOn w:val="Heading1"/>
  </w:style>
  <w:style w:type="paragraph" w:styleId="Footer">
    <w:name w:val="footer"/>
    <w:basedOn w:val="Normal"/>
    <w:semiHidden/>
    <w:pPr>
      <w:tabs>
        <w:tab w:val="center" w:pos="4320"/>
        <w:tab w:val="right" w:pos="8640"/>
      </w:tabs>
    </w:pPr>
    <w:rPr>
      <w:b/>
    </w:rPr>
  </w:style>
  <w:style w:type="paragraph" w:styleId="Header">
    <w:name w:val="header"/>
    <w:basedOn w:val="Normal"/>
    <w:semiHidden/>
    <w:pPr>
      <w:pBdr>
        <w:bottom w:val="single" w:sz="8" w:space="1" w:color="auto"/>
      </w:pBdr>
      <w:tabs>
        <w:tab w:val="center" w:pos="4320"/>
        <w:tab w:val="right" w:pos="8640"/>
      </w:tabs>
    </w:pPr>
    <w:rPr>
      <w:b/>
    </w:rPr>
  </w:style>
  <w:style w:type="paragraph" w:customStyle="1" w:styleId="Index">
    <w:name w:val="Index"/>
    <w:basedOn w:val="Heading1"/>
  </w:style>
  <w:style w:type="paragraph" w:customStyle="1" w:styleId="Learning2Improve">
    <w:name w:val="Learning2Improve"/>
    <w:basedOn w:val="Heading1"/>
    <w:rPr>
      <w:b w:val="0"/>
      <w:i/>
      <w:sz w:val="40"/>
    </w:rPr>
  </w:style>
  <w:style w:type="paragraph" w:customStyle="1" w:styleId="ModuleCode">
    <w:name w:val="ModuleCode"/>
    <w:basedOn w:val="Normal"/>
    <w:pPr>
      <w:jc w:val="center"/>
    </w:pPr>
    <w:rPr>
      <w:b/>
    </w:rPr>
  </w:style>
  <w:style w:type="paragraph" w:customStyle="1" w:styleId="Level">
    <w:name w:val="Level"/>
    <w:basedOn w:val="ModuleCode"/>
    <w:rPr>
      <w:sz w:val="72"/>
    </w:rPr>
  </w:style>
  <w:style w:type="paragraph" w:customStyle="1" w:styleId="Objectives">
    <w:name w:val="Objectives"/>
    <w:basedOn w:val="Normal"/>
    <w:pPr>
      <w:ind w:left="360" w:hanging="360"/>
    </w:pPr>
    <w:rPr>
      <w:sz w:val="20"/>
      <w:lang w:val="en-US"/>
    </w:rPr>
  </w:style>
  <w:style w:type="character" w:styleId="PageNumber">
    <w:name w:val="page number"/>
    <w:basedOn w:val="DefaultParagraphFont"/>
    <w:semiHidden/>
  </w:style>
  <w:style w:type="paragraph" w:styleId="TOC1">
    <w:name w:val="toc 1"/>
    <w:basedOn w:val="Normal"/>
    <w:next w:val="Normal"/>
    <w:autoRedefine/>
    <w:semiHidden/>
    <w:pPr>
      <w:spacing w:before="120" w:after="120"/>
    </w:pPr>
    <w:rPr>
      <w:b/>
      <w:caps/>
      <w:sz w:val="20"/>
    </w:rPr>
  </w:style>
  <w:style w:type="paragraph" w:styleId="TOC2">
    <w:name w:val="toc 2"/>
    <w:basedOn w:val="Normal"/>
    <w:next w:val="Normal"/>
    <w:autoRedefine/>
    <w:semiHidden/>
    <w:pPr>
      <w:ind w:left="280"/>
    </w:pPr>
    <w:rPr>
      <w:smallCaps/>
      <w:sz w:val="20"/>
    </w:rPr>
  </w:style>
  <w:style w:type="paragraph" w:styleId="TOC3">
    <w:name w:val="toc 3"/>
    <w:basedOn w:val="Normal"/>
    <w:next w:val="Normal"/>
    <w:autoRedefine/>
    <w:semiHidden/>
    <w:pPr>
      <w:ind w:left="560"/>
    </w:pPr>
    <w:rPr>
      <w:i/>
      <w:sz w:val="20"/>
    </w:rPr>
  </w:style>
  <w:style w:type="paragraph" w:styleId="TOC4">
    <w:name w:val="toc 4"/>
    <w:basedOn w:val="Normal"/>
    <w:next w:val="Normal"/>
    <w:autoRedefine/>
    <w:semiHidden/>
    <w:pPr>
      <w:ind w:left="840"/>
    </w:pPr>
    <w:rPr>
      <w:sz w:val="18"/>
    </w:rPr>
  </w:style>
  <w:style w:type="paragraph" w:styleId="TOC5">
    <w:name w:val="toc 5"/>
    <w:basedOn w:val="Normal"/>
    <w:next w:val="Normal"/>
    <w:autoRedefine/>
    <w:semiHidden/>
    <w:pPr>
      <w:ind w:left="1120"/>
    </w:pPr>
    <w:rPr>
      <w:sz w:val="18"/>
    </w:rPr>
  </w:style>
  <w:style w:type="paragraph" w:styleId="TOC6">
    <w:name w:val="toc 6"/>
    <w:basedOn w:val="Normal"/>
    <w:next w:val="Normal"/>
    <w:autoRedefine/>
    <w:semiHidden/>
    <w:pPr>
      <w:ind w:left="1400"/>
    </w:pPr>
    <w:rPr>
      <w:sz w:val="18"/>
    </w:rPr>
  </w:style>
  <w:style w:type="paragraph" w:styleId="TOC7">
    <w:name w:val="toc 7"/>
    <w:basedOn w:val="Normal"/>
    <w:next w:val="Normal"/>
    <w:autoRedefine/>
    <w:semiHidden/>
    <w:pPr>
      <w:ind w:left="1680"/>
    </w:pPr>
    <w:rPr>
      <w:sz w:val="18"/>
    </w:rPr>
  </w:style>
  <w:style w:type="paragraph" w:styleId="TOC8">
    <w:name w:val="toc 8"/>
    <w:basedOn w:val="Normal"/>
    <w:next w:val="Normal"/>
    <w:autoRedefine/>
    <w:semiHidden/>
    <w:pPr>
      <w:ind w:left="1960"/>
    </w:pPr>
    <w:rPr>
      <w:sz w:val="18"/>
    </w:rPr>
  </w:style>
  <w:style w:type="paragraph" w:styleId="TOC9">
    <w:name w:val="toc 9"/>
    <w:basedOn w:val="Normal"/>
    <w:next w:val="Normal"/>
    <w:autoRedefine/>
    <w:semiHidden/>
    <w:pPr>
      <w:ind w:left="2240"/>
    </w:pPr>
    <w:rPr>
      <w:sz w:val="18"/>
    </w:rPr>
  </w:style>
  <w:style w:type="paragraph" w:customStyle="1" w:styleId="TocText">
    <w:name w:val="TocText"/>
    <w:basedOn w:val="Heading1"/>
  </w:style>
  <w:style w:type="paragraph" w:customStyle="1" w:styleId="ELC-ParaTitle">
    <w:name w:val="ELC - Para Title"/>
    <w:basedOn w:val="ELC-Title"/>
    <w:pPr>
      <w:numPr>
        <w:numId w:val="1"/>
      </w:numPr>
      <w:tabs>
        <w:tab w:val="left" w:pos="680"/>
      </w:tabs>
      <w:spacing w:after="200"/>
      <w:ind w:right="0"/>
    </w:pPr>
    <w:rPr>
      <w:caps w:val="0"/>
    </w:rPr>
  </w:style>
  <w:style w:type="paragraph" w:styleId="BlockText">
    <w:name w:val="Block Text"/>
    <w:basedOn w:val="Normal"/>
    <w:semiHidden/>
    <w:pPr>
      <w:ind w:left="180" w:right="-180"/>
    </w:pPr>
  </w:style>
  <w:style w:type="paragraph" w:styleId="BodyText2">
    <w:name w:val="Body Text 2"/>
    <w:basedOn w:val="Normal"/>
    <w:link w:val="BodyText2Char"/>
    <w:uiPriority w:val="99"/>
    <w:rPr>
      <w:rFonts w:cs="Arial"/>
    </w:rPr>
  </w:style>
  <w:style w:type="paragraph" w:styleId="BodyText3">
    <w:name w:val="Body Text 3"/>
    <w:basedOn w:val="Normal"/>
    <w:semiHidden/>
    <w:pPr>
      <w:ind w:right="-180"/>
    </w:pPr>
    <w:rPr>
      <w:rFonts w:cs="Arial"/>
    </w:rPr>
  </w:style>
  <w:style w:type="paragraph" w:customStyle="1" w:styleId="AutoText">
    <w:name w:val="AutoText"/>
    <w:basedOn w:val="Normal"/>
    <w:pPr>
      <w:ind w:right="-180"/>
    </w:pPr>
    <w:rPr>
      <w:rFonts w:cs="Arial"/>
    </w:rPr>
  </w:style>
  <w:style w:type="paragraph" w:customStyle="1" w:styleId="Default">
    <w:name w:val="Default"/>
    <w:rsid w:val="008412EE"/>
    <w:pPr>
      <w:autoSpaceDE w:val="0"/>
      <w:autoSpaceDN w:val="0"/>
      <w:adjustRightInd w:val="0"/>
    </w:pPr>
    <w:rPr>
      <w:rFonts w:ascii="Arial" w:hAnsi="Arial" w:cs="Arial"/>
      <w:color w:val="000000"/>
      <w:sz w:val="24"/>
      <w:szCs w:val="24"/>
    </w:rPr>
  </w:style>
  <w:style w:type="character" w:customStyle="1" w:styleId="BodyText2Char">
    <w:name w:val="Body Text 2 Char"/>
    <w:link w:val="BodyText2"/>
    <w:uiPriority w:val="99"/>
    <w:rsid w:val="008412EE"/>
    <w:rPr>
      <w:rFonts w:ascii="Arial" w:hAnsi="Arial" w:cs="Arial"/>
      <w:sz w:val="24"/>
      <w:lang w:eastAsia="en-US"/>
    </w:rPr>
  </w:style>
  <w:style w:type="paragraph" w:styleId="ListParagraph">
    <w:name w:val="List Paragraph"/>
    <w:basedOn w:val="Normal"/>
    <w:uiPriority w:val="34"/>
    <w:qFormat/>
    <w:rsid w:val="0019006B"/>
    <w:pPr>
      <w:ind w:left="720"/>
      <w:contextualSpacing/>
    </w:pPr>
  </w:style>
  <w:style w:type="character" w:styleId="Hyperlink">
    <w:name w:val="Hyperlink"/>
    <w:basedOn w:val="DefaultParagraphFont"/>
    <w:uiPriority w:val="99"/>
    <w:unhideWhenUsed/>
    <w:rsid w:val="00267EBE"/>
    <w:rPr>
      <w:color w:val="0000FF" w:themeColor="hyperlink"/>
      <w:u w:val="single"/>
    </w:rPr>
  </w:style>
  <w:style w:type="paragraph" w:styleId="NormalWeb">
    <w:name w:val="Normal (Web)"/>
    <w:basedOn w:val="Normal"/>
    <w:uiPriority w:val="99"/>
    <w:unhideWhenUsed/>
    <w:rsid w:val="00F609D8"/>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39"/>
    <w:rsid w:val="00EA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2FC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270CB"/>
    <w:rPr>
      <w:b/>
      <w:bCs/>
    </w:rPr>
  </w:style>
  <w:style w:type="character" w:customStyle="1" w:styleId="CommentTextChar">
    <w:name w:val="Comment Text Char"/>
    <w:basedOn w:val="DefaultParagraphFont"/>
    <w:link w:val="CommentText"/>
    <w:semiHidden/>
    <w:rsid w:val="007270CB"/>
    <w:rPr>
      <w:rFonts w:ascii="Arial" w:hAnsi="Arial"/>
      <w:lang w:eastAsia="en-US"/>
    </w:rPr>
  </w:style>
  <w:style w:type="character" w:customStyle="1" w:styleId="CommentSubjectChar">
    <w:name w:val="Comment Subject Char"/>
    <w:basedOn w:val="CommentTextChar"/>
    <w:link w:val="CommentSubject"/>
    <w:uiPriority w:val="99"/>
    <w:semiHidden/>
    <w:rsid w:val="007270CB"/>
    <w:rPr>
      <w:rFonts w:ascii="Arial" w:hAnsi="Arial"/>
      <w:b/>
      <w:bCs/>
      <w:lang w:eastAsia="en-US"/>
    </w:rPr>
  </w:style>
  <w:style w:type="paragraph" w:styleId="BalloonText">
    <w:name w:val="Balloon Text"/>
    <w:basedOn w:val="Normal"/>
    <w:link w:val="BalloonTextChar"/>
    <w:uiPriority w:val="99"/>
    <w:semiHidden/>
    <w:unhideWhenUsed/>
    <w:rsid w:val="00727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CB"/>
    <w:rPr>
      <w:rFonts w:ascii="Segoe UI" w:hAnsi="Segoe UI" w:cs="Segoe UI"/>
      <w:sz w:val="18"/>
      <w:szCs w:val="18"/>
      <w:lang w:eastAsia="en-US"/>
    </w:rPr>
  </w:style>
  <w:style w:type="paragraph" w:styleId="Revision">
    <w:name w:val="Revision"/>
    <w:hidden/>
    <w:uiPriority w:val="99"/>
    <w:semiHidden/>
    <w:rsid w:val="00D146E5"/>
    <w:rPr>
      <w:rFonts w:ascii="Arial" w:hAnsi="Arial"/>
      <w:sz w:val="24"/>
      <w:lang w:eastAsia="en-US"/>
    </w:rPr>
  </w:style>
  <w:style w:type="character" w:styleId="UnresolvedMention">
    <w:name w:val="Unresolved Mention"/>
    <w:basedOn w:val="DefaultParagraphFont"/>
    <w:uiPriority w:val="99"/>
    <w:semiHidden/>
    <w:unhideWhenUsed/>
    <w:rsid w:val="0010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3066">
      <w:bodyDiv w:val="1"/>
      <w:marLeft w:val="0"/>
      <w:marRight w:val="0"/>
      <w:marTop w:val="0"/>
      <w:marBottom w:val="0"/>
      <w:divBdr>
        <w:top w:val="none" w:sz="0" w:space="0" w:color="auto"/>
        <w:left w:val="none" w:sz="0" w:space="0" w:color="auto"/>
        <w:bottom w:val="none" w:sz="0" w:space="0" w:color="auto"/>
        <w:right w:val="none" w:sz="0" w:space="0" w:color="auto"/>
      </w:divBdr>
    </w:div>
    <w:div w:id="405107539">
      <w:bodyDiv w:val="1"/>
      <w:marLeft w:val="0"/>
      <w:marRight w:val="0"/>
      <w:marTop w:val="0"/>
      <w:marBottom w:val="0"/>
      <w:divBdr>
        <w:top w:val="none" w:sz="0" w:space="0" w:color="auto"/>
        <w:left w:val="none" w:sz="0" w:space="0" w:color="auto"/>
        <w:bottom w:val="none" w:sz="0" w:space="0" w:color="auto"/>
        <w:right w:val="none" w:sz="0" w:space="0" w:color="auto"/>
      </w:divBdr>
    </w:div>
    <w:div w:id="11269236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465">
          <w:marLeft w:val="0"/>
          <w:marRight w:val="0"/>
          <w:marTop w:val="0"/>
          <w:marBottom w:val="0"/>
          <w:divBdr>
            <w:top w:val="none" w:sz="0" w:space="0" w:color="auto"/>
            <w:left w:val="none" w:sz="0" w:space="0" w:color="auto"/>
            <w:bottom w:val="none" w:sz="0" w:space="0" w:color="auto"/>
            <w:right w:val="none" w:sz="0" w:space="0" w:color="auto"/>
          </w:divBdr>
        </w:div>
      </w:divsChild>
    </w:div>
    <w:div w:id="1240285868">
      <w:bodyDiv w:val="1"/>
      <w:marLeft w:val="0"/>
      <w:marRight w:val="0"/>
      <w:marTop w:val="0"/>
      <w:marBottom w:val="0"/>
      <w:divBdr>
        <w:top w:val="none" w:sz="0" w:space="0" w:color="auto"/>
        <w:left w:val="none" w:sz="0" w:space="0" w:color="auto"/>
        <w:bottom w:val="none" w:sz="0" w:space="0" w:color="auto"/>
        <w:right w:val="none" w:sz="0" w:space="0" w:color="auto"/>
      </w:divBdr>
    </w:div>
    <w:div w:id="1424490611">
      <w:bodyDiv w:val="1"/>
      <w:marLeft w:val="0"/>
      <w:marRight w:val="0"/>
      <w:marTop w:val="0"/>
      <w:marBottom w:val="0"/>
      <w:divBdr>
        <w:top w:val="none" w:sz="0" w:space="0" w:color="auto"/>
        <w:left w:val="none" w:sz="0" w:space="0" w:color="auto"/>
        <w:bottom w:val="none" w:sz="0" w:space="0" w:color="auto"/>
        <w:right w:val="none" w:sz="0" w:space="0" w:color="auto"/>
      </w:divBdr>
    </w:div>
    <w:div w:id="1667049417">
      <w:bodyDiv w:val="1"/>
      <w:marLeft w:val="0"/>
      <w:marRight w:val="0"/>
      <w:marTop w:val="0"/>
      <w:marBottom w:val="0"/>
      <w:divBdr>
        <w:top w:val="none" w:sz="0" w:space="0" w:color="auto"/>
        <w:left w:val="none" w:sz="0" w:space="0" w:color="auto"/>
        <w:bottom w:val="none" w:sz="0" w:space="0" w:color="auto"/>
        <w:right w:val="none" w:sz="0" w:space="0" w:color="auto"/>
      </w:divBdr>
    </w:div>
    <w:div w:id="1802382324">
      <w:bodyDiv w:val="1"/>
      <w:marLeft w:val="0"/>
      <w:marRight w:val="0"/>
      <w:marTop w:val="0"/>
      <w:marBottom w:val="0"/>
      <w:divBdr>
        <w:top w:val="none" w:sz="0" w:space="0" w:color="auto"/>
        <w:left w:val="none" w:sz="0" w:space="0" w:color="auto"/>
        <w:bottom w:val="none" w:sz="0" w:space="0" w:color="auto"/>
        <w:right w:val="none" w:sz="0" w:space="0" w:color="auto"/>
      </w:divBdr>
    </w:div>
    <w:div w:id="2038118613">
      <w:bodyDiv w:val="1"/>
      <w:marLeft w:val="0"/>
      <w:marRight w:val="0"/>
      <w:marTop w:val="0"/>
      <w:marBottom w:val="0"/>
      <w:divBdr>
        <w:top w:val="none" w:sz="0" w:space="0" w:color="auto"/>
        <w:left w:val="none" w:sz="0" w:space="0" w:color="auto"/>
        <w:bottom w:val="none" w:sz="0" w:space="0" w:color="auto"/>
        <w:right w:val="none" w:sz="0" w:space="0" w:color="auto"/>
      </w:divBdr>
    </w:div>
    <w:div w:id="20612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eastlothian.gov.uk/downloads/file/3320/worksmart_policy_outlines_the_contractual_flexible_working_options_-_including_part-time_working_compressed_hours_and_ad-hoc_home_work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eastlothian.gov.uk/downloads/file/3340/homeworking_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eastlothian.gov.uk/downloads/file/3667/equal_opportunities_statement" TargetMode="External"/><Relationship Id="rId5" Type="http://schemas.openxmlformats.org/officeDocument/2006/relationships/webSettings" Target="webSettings.xml"/><Relationship Id="rId15" Type="http://schemas.openxmlformats.org/officeDocument/2006/relationships/hyperlink" Target="https://intranet.eastlothian.gov.uk/downloads/file/3981/menopause_and_hormonal_conditions_policy" TargetMode="External"/><Relationship Id="rId10" Type="http://schemas.openxmlformats.org/officeDocument/2006/relationships/hyperlink" Target="https://intranet.eastlothian.gov.uk/downloads/file/333/recruitment_and_selection_policy" TargetMode="External"/><Relationship Id="rId4" Type="http://schemas.openxmlformats.org/officeDocument/2006/relationships/settings" Target="settings.xml"/><Relationship Id="rId9" Type="http://schemas.openxmlformats.org/officeDocument/2006/relationships/hyperlink" Target="http://www.gov.scot" TargetMode="External"/><Relationship Id="rId14" Type="http://schemas.openxmlformats.org/officeDocument/2006/relationships/hyperlink" Target="https://intranet.eastlothian.gov.uk/downloads/file/3320/worksmart_policy_outlines_the_contractual_flexible_working_options_-_including_part-time_working_compressed_hours_and_ad-hoc_home_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3D9A4-AC22-4BDE-8C7D-87FE7937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2025-02-05T14:01:00Z</dcterms:created>
  <dcterms:modified xsi:type="dcterms:W3CDTF">2025-06-02T10:14:00Z</dcterms:modified>
  <cp:category/>
</cp:coreProperties>
</file>