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4197D6D5" w:rsidR="002D24D8" w:rsidRPr="00E52557" w:rsidRDefault="00EC591E" w:rsidP="004300C6">
            <w:pPr>
              <w:pStyle w:val="ListParagraph"/>
              <w:ind w:left="0"/>
              <w:rPr>
                <w:rFonts w:cs="Calibri"/>
                <w:sz w:val="24"/>
                <w:szCs w:val="24"/>
              </w:rPr>
            </w:pPr>
            <w:r>
              <w:rPr>
                <w:rFonts w:cs="Calibri"/>
                <w:sz w:val="24"/>
                <w:szCs w:val="24"/>
              </w:rPr>
              <w:t>Musselburgh Flood Protection Scheme</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2028D22F" w:rsidR="003F6ABB" w:rsidRPr="00E52557" w:rsidRDefault="00EC591E" w:rsidP="004300C6">
            <w:pPr>
              <w:pStyle w:val="ListParagraph"/>
              <w:ind w:left="0"/>
              <w:rPr>
                <w:rFonts w:cs="Calibri"/>
                <w:sz w:val="24"/>
                <w:szCs w:val="24"/>
              </w:rPr>
            </w:pPr>
            <w:r>
              <w:rPr>
                <w:rFonts w:cs="Calibri"/>
                <w:sz w:val="24"/>
                <w:szCs w:val="24"/>
              </w:rPr>
              <w:t>2025 to 203</w:t>
            </w:r>
            <w:r w:rsidR="00531AF9">
              <w:rPr>
                <w:rFonts w:cs="Calibri"/>
                <w:sz w:val="24"/>
                <w:szCs w:val="24"/>
              </w:rPr>
              <w:t>5</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5700774B" w:rsidR="002D24D8" w:rsidRPr="00E52557" w:rsidRDefault="006F5DF1" w:rsidP="004300C6">
            <w:pPr>
              <w:pStyle w:val="ListParagraph"/>
              <w:ind w:left="0"/>
              <w:rPr>
                <w:rFonts w:cs="Calibri"/>
                <w:sz w:val="24"/>
                <w:szCs w:val="24"/>
              </w:rPr>
            </w:pPr>
            <w:r>
              <w:rPr>
                <w:rFonts w:cs="Calibri"/>
                <w:sz w:val="24"/>
                <w:szCs w:val="24"/>
              </w:rPr>
              <w:t>22 / 09 / 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7B2112B2" w:rsidR="002D24D8" w:rsidRPr="00E52557" w:rsidRDefault="00050089" w:rsidP="004300C6">
            <w:pPr>
              <w:pStyle w:val="ListParagraph"/>
              <w:ind w:left="0"/>
              <w:rPr>
                <w:rFonts w:cs="Calibri"/>
                <w:sz w:val="24"/>
                <w:szCs w:val="24"/>
              </w:rPr>
            </w:pPr>
            <w:r>
              <w:rPr>
                <w:rFonts w:cs="Calibri"/>
                <w:sz w:val="24"/>
                <w:szCs w:val="24"/>
              </w:rPr>
              <w:t>Ian Chalmers</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53262290" w:rsidR="002D24D8" w:rsidRPr="00E52557" w:rsidRDefault="00EC591E" w:rsidP="004300C6">
            <w:pPr>
              <w:pStyle w:val="ListParagraph"/>
              <w:ind w:left="0"/>
              <w:rPr>
                <w:rFonts w:cs="Calibri"/>
                <w:sz w:val="24"/>
                <w:szCs w:val="24"/>
              </w:rPr>
            </w:pPr>
            <w:r>
              <w:rPr>
                <w:rFonts w:cs="Calibri"/>
                <w:sz w:val="24"/>
                <w:szCs w:val="24"/>
              </w:rPr>
              <w:t>Alan Stubbs</w:t>
            </w:r>
          </w:p>
        </w:tc>
      </w:tr>
    </w:tbl>
    <w:p w14:paraId="6D513105" w14:textId="5D96DF4F" w:rsidR="002D24D8" w:rsidRPr="003D5404" w:rsidRDefault="00C937AE" w:rsidP="002D24D8">
      <w:pPr>
        <w:pStyle w:val="ListParagraph"/>
        <w:ind w:left="0"/>
        <w:rPr>
          <w:rFonts w:cs="Calibri"/>
          <w:color w:val="A20000"/>
          <w:sz w:val="24"/>
          <w:szCs w:val="24"/>
        </w:rPr>
      </w:pPr>
      <w:r w:rsidRPr="003D5404">
        <w:rPr>
          <w:rFonts w:cs="Calibri"/>
          <w:color w:val="A20000"/>
          <w:sz w:val="24"/>
          <w:szCs w:val="24"/>
        </w:rPr>
        <w:t>*An Environmental Impact Assessment (</w:t>
      </w:r>
      <w:r w:rsidRPr="003D5404">
        <w:rPr>
          <w:rFonts w:cs="Calibri"/>
          <w:i/>
          <w:iCs/>
          <w:color w:val="A20000"/>
          <w:sz w:val="24"/>
          <w:szCs w:val="24"/>
        </w:rPr>
        <w:t>EIA) has been ongoing since the outline design commenced, and that it considered impacts on population, human health, visual impact etc</w:t>
      </w:r>
      <w:r w:rsidR="00FE226A" w:rsidRPr="003D5404">
        <w:rPr>
          <w:rFonts w:cs="Calibri"/>
          <w:i/>
          <w:iCs/>
          <w:color w:val="A20000"/>
          <w:sz w:val="24"/>
          <w:szCs w:val="24"/>
        </w:rPr>
        <w:t>.</w:t>
      </w: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6AACC23" w14:textId="4745718F" w:rsidR="0030304A" w:rsidRPr="00E52557" w:rsidRDefault="00D6534E" w:rsidP="002D24D8">
      <w:pPr>
        <w:pStyle w:val="ListParagraph"/>
        <w:ind w:left="0"/>
        <w:rPr>
          <w:rFonts w:cs="Calibri"/>
          <w:sz w:val="24"/>
          <w:szCs w:val="24"/>
        </w:rPr>
      </w:pPr>
      <w:r>
        <w:rPr>
          <w:rFonts w:cs="Calibri"/>
          <w:sz w:val="24"/>
          <w:szCs w:val="24"/>
        </w:rPr>
        <w:t xml:space="preserve">The proposal is to construct a flood protection scheme for Musselburgh. The Scheme is being promoted under the Flood Risk Management (Scotland) Act 2009 and aims to protect the town from a 0.5% </w:t>
      </w:r>
      <w:r w:rsidR="00AC0F08">
        <w:rPr>
          <w:rFonts w:cs="Calibri"/>
          <w:sz w:val="24"/>
          <w:szCs w:val="24"/>
        </w:rPr>
        <w:t>A</w:t>
      </w:r>
      <w:r>
        <w:rPr>
          <w:rFonts w:cs="Calibri"/>
          <w:sz w:val="24"/>
          <w:szCs w:val="24"/>
        </w:rPr>
        <w:t xml:space="preserve">nnual </w:t>
      </w:r>
      <w:r w:rsidR="00AC0F08">
        <w:rPr>
          <w:rFonts w:cs="Calibri"/>
          <w:sz w:val="24"/>
          <w:szCs w:val="24"/>
        </w:rPr>
        <w:t>E</w:t>
      </w:r>
      <w:r>
        <w:rPr>
          <w:rFonts w:cs="Calibri"/>
          <w:sz w:val="24"/>
          <w:szCs w:val="24"/>
        </w:rPr>
        <w:t xml:space="preserve">xceedance </w:t>
      </w:r>
      <w:r w:rsidR="00AC0F08">
        <w:rPr>
          <w:rFonts w:cs="Calibri"/>
          <w:sz w:val="24"/>
          <w:szCs w:val="24"/>
        </w:rPr>
        <w:t>P</w:t>
      </w:r>
      <w:r>
        <w:rPr>
          <w:rFonts w:cs="Calibri"/>
          <w:sz w:val="24"/>
          <w:szCs w:val="24"/>
        </w:rPr>
        <w:t>robability</w:t>
      </w:r>
      <w:r w:rsidR="00AC0F08">
        <w:rPr>
          <w:rFonts w:cs="Calibri"/>
          <w:sz w:val="24"/>
          <w:szCs w:val="24"/>
        </w:rPr>
        <w:t xml:space="preserve"> (AEP)</w:t>
      </w:r>
      <w:r>
        <w:rPr>
          <w:rFonts w:cs="Calibri"/>
          <w:sz w:val="24"/>
          <w:szCs w:val="24"/>
        </w:rPr>
        <w:t xml:space="preserve"> flood event from the River Esk and the coast. The town</w:t>
      </w:r>
      <w:r w:rsidR="00EC591E">
        <w:rPr>
          <w:rFonts w:cs="Calibri"/>
          <w:sz w:val="24"/>
          <w:szCs w:val="24"/>
        </w:rPr>
        <w:t xml:space="preserve"> has a history of flooding and is identified as a potentially vulnerable area within the Local Flood Risk Management for the Forth Estuary planning district. </w:t>
      </w:r>
    </w:p>
    <w:p w14:paraId="1166542D" w14:textId="77777777" w:rsidR="003F6ABB" w:rsidRPr="00E52557" w:rsidRDefault="003F6ABB" w:rsidP="002D24D8">
      <w:pPr>
        <w:pStyle w:val="ListParagraph"/>
        <w:ind w:left="0"/>
        <w:rPr>
          <w:rFonts w:cs="Calibri"/>
          <w:sz w:val="24"/>
          <w:szCs w:val="24"/>
        </w:rPr>
      </w:pPr>
    </w:p>
    <w:p w14:paraId="1DB806C2" w14:textId="77777777" w:rsidR="002D24D8"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2EF6B0A5" w14:textId="40AAADB4" w:rsidR="00282807" w:rsidRPr="000A7DF2" w:rsidRDefault="00EC591E" w:rsidP="00EC591E">
      <w:pPr>
        <w:rPr>
          <w:rFonts w:cs="Calibri"/>
          <w:bCs/>
          <w:sz w:val="24"/>
          <w:szCs w:val="24"/>
        </w:rPr>
      </w:pPr>
      <w:r w:rsidRPr="000A7DF2">
        <w:rPr>
          <w:rFonts w:cs="Calibri"/>
          <w:bCs/>
          <w:sz w:val="24"/>
          <w:szCs w:val="24"/>
        </w:rPr>
        <w:t xml:space="preserve">The proposed Scheme comprises flood defence walls, embankments, </w:t>
      </w:r>
      <w:r w:rsidR="00282807" w:rsidRPr="000A7DF2">
        <w:rPr>
          <w:rFonts w:cs="Calibri"/>
          <w:bCs/>
          <w:sz w:val="24"/>
          <w:szCs w:val="24"/>
        </w:rPr>
        <w:t xml:space="preserve">culverts, </w:t>
      </w:r>
      <w:r w:rsidRPr="000A7DF2">
        <w:rPr>
          <w:rFonts w:cs="Calibri"/>
          <w:bCs/>
          <w:sz w:val="24"/>
          <w:szCs w:val="24"/>
        </w:rPr>
        <w:t xml:space="preserve">replacement bridges, surface water pumping stations, debris management, reservoir modifications, river restoration and public realm improvements. </w:t>
      </w:r>
      <w:r w:rsidR="00282807" w:rsidRPr="000A7DF2">
        <w:rPr>
          <w:rFonts w:cs="Calibri"/>
          <w:bCs/>
          <w:sz w:val="24"/>
          <w:szCs w:val="24"/>
        </w:rPr>
        <w:t>If constructed</w:t>
      </w:r>
      <w:r w:rsidR="00D6534E">
        <w:rPr>
          <w:rFonts w:cs="Calibri"/>
          <w:bCs/>
          <w:sz w:val="24"/>
          <w:szCs w:val="24"/>
        </w:rPr>
        <w:t>,</w:t>
      </w:r>
      <w:r w:rsidR="00282807" w:rsidRPr="000A7DF2">
        <w:rPr>
          <w:rFonts w:cs="Calibri"/>
          <w:bCs/>
          <w:sz w:val="24"/>
          <w:szCs w:val="24"/>
        </w:rPr>
        <w:t xml:space="preserve"> this will result in a change to the built environment in the following locations:</w:t>
      </w:r>
    </w:p>
    <w:p w14:paraId="6B0148CD" w14:textId="7DD59F40" w:rsidR="00282807" w:rsidRPr="000A7DF2" w:rsidRDefault="00282807" w:rsidP="00282807">
      <w:pPr>
        <w:pStyle w:val="ListParagraph"/>
        <w:numPr>
          <w:ilvl w:val="0"/>
          <w:numId w:val="14"/>
        </w:numPr>
        <w:rPr>
          <w:rFonts w:cs="Calibri"/>
          <w:bCs/>
          <w:sz w:val="24"/>
          <w:szCs w:val="24"/>
        </w:rPr>
      </w:pPr>
      <w:r w:rsidRPr="000A7DF2">
        <w:rPr>
          <w:rFonts w:cs="Calibri"/>
          <w:bCs/>
          <w:sz w:val="24"/>
          <w:szCs w:val="24"/>
        </w:rPr>
        <w:t>the River Esk</w:t>
      </w:r>
      <w:r w:rsidR="00D6534E">
        <w:rPr>
          <w:rFonts w:cs="Calibri"/>
          <w:bCs/>
          <w:sz w:val="24"/>
          <w:szCs w:val="24"/>
        </w:rPr>
        <w:t xml:space="preserve"> and its riverbanks</w:t>
      </w:r>
      <w:r w:rsidRPr="000A7DF2">
        <w:rPr>
          <w:rFonts w:cs="Calibri"/>
          <w:bCs/>
          <w:sz w:val="24"/>
          <w:szCs w:val="24"/>
        </w:rPr>
        <w:t xml:space="preserve"> between </w:t>
      </w:r>
      <w:proofErr w:type="spellStart"/>
      <w:r w:rsidRPr="000A7DF2">
        <w:rPr>
          <w:rFonts w:cs="Calibri"/>
          <w:bCs/>
          <w:sz w:val="24"/>
          <w:szCs w:val="24"/>
        </w:rPr>
        <w:t>Eskmills</w:t>
      </w:r>
      <w:proofErr w:type="spellEnd"/>
      <w:r w:rsidRPr="000A7DF2">
        <w:rPr>
          <w:rFonts w:cs="Calibri"/>
          <w:bCs/>
          <w:sz w:val="24"/>
          <w:szCs w:val="24"/>
        </w:rPr>
        <w:t xml:space="preserve"> weir and the mouth of the River Esk;</w:t>
      </w:r>
    </w:p>
    <w:p w14:paraId="3F84C1A9" w14:textId="1FECE911" w:rsidR="00EC591E" w:rsidRPr="000A7DF2" w:rsidRDefault="00282807" w:rsidP="00282807">
      <w:pPr>
        <w:pStyle w:val="ListParagraph"/>
        <w:numPr>
          <w:ilvl w:val="0"/>
          <w:numId w:val="14"/>
        </w:numPr>
        <w:rPr>
          <w:rFonts w:cs="Calibri"/>
          <w:bCs/>
          <w:sz w:val="24"/>
          <w:szCs w:val="24"/>
        </w:rPr>
      </w:pPr>
      <w:r w:rsidRPr="000A7DF2">
        <w:rPr>
          <w:rFonts w:cs="Calibri"/>
          <w:bCs/>
          <w:sz w:val="24"/>
          <w:szCs w:val="24"/>
        </w:rPr>
        <w:t>the coastline between the Brunstane Burn and Morrisons Haven;</w:t>
      </w:r>
    </w:p>
    <w:p w14:paraId="0450BDFD" w14:textId="15465E57" w:rsidR="00282807" w:rsidRPr="000A7DF2" w:rsidRDefault="00282807" w:rsidP="00282807">
      <w:pPr>
        <w:pStyle w:val="ListParagraph"/>
        <w:numPr>
          <w:ilvl w:val="0"/>
          <w:numId w:val="14"/>
        </w:numPr>
        <w:rPr>
          <w:rFonts w:cs="Calibri"/>
          <w:bCs/>
          <w:sz w:val="24"/>
          <w:szCs w:val="24"/>
        </w:rPr>
      </w:pPr>
      <w:r w:rsidRPr="000A7DF2">
        <w:rPr>
          <w:rFonts w:cs="Calibri"/>
          <w:bCs/>
          <w:sz w:val="24"/>
          <w:szCs w:val="24"/>
        </w:rPr>
        <w:t>Pinkie St Peters playing fields;</w:t>
      </w:r>
    </w:p>
    <w:p w14:paraId="0E48B7E0" w14:textId="5554F5B5" w:rsidR="00282807" w:rsidRPr="000A7DF2" w:rsidRDefault="00282807" w:rsidP="00282807">
      <w:pPr>
        <w:pStyle w:val="ListParagraph"/>
        <w:numPr>
          <w:ilvl w:val="0"/>
          <w:numId w:val="14"/>
        </w:numPr>
        <w:rPr>
          <w:rFonts w:cs="Calibri"/>
          <w:bCs/>
          <w:sz w:val="24"/>
          <w:szCs w:val="24"/>
        </w:rPr>
      </w:pPr>
      <w:r w:rsidRPr="000A7DF2">
        <w:rPr>
          <w:rFonts w:cs="Calibri"/>
          <w:bCs/>
          <w:sz w:val="24"/>
          <w:szCs w:val="24"/>
        </w:rPr>
        <w:t xml:space="preserve">The Mill Lade at </w:t>
      </w:r>
      <w:proofErr w:type="spellStart"/>
      <w:r w:rsidRPr="000A7DF2">
        <w:rPr>
          <w:rFonts w:cs="Calibri"/>
          <w:bCs/>
          <w:sz w:val="24"/>
          <w:szCs w:val="24"/>
        </w:rPr>
        <w:t>Eskmills</w:t>
      </w:r>
      <w:proofErr w:type="spellEnd"/>
      <w:r w:rsidRPr="000A7DF2">
        <w:rPr>
          <w:rFonts w:cs="Calibri"/>
          <w:bCs/>
          <w:sz w:val="24"/>
          <w:szCs w:val="24"/>
        </w:rPr>
        <w:t>;</w:t>
      </w:r>
    </w:p>
    <w:p w14:paraId="2F161194" w14:textId="0FC86138" w:rsidR="00282807" w:rsidRPr="000A7DF2" w:rsidRDefault="00282807" w:rsidP="00282807">
      <w:pPr>
        <w:pStyle w:val="ListParagraph"/>
        <w:numPr>
          <w:ilvl w:val="0"/>
          <w:numId w:val="14"/>
        </w:numPr>
        <w:rPr>
          <w:rFonts w:cs="Calibri"/>
          <w:bCs/>
          <w:sz w:val="24"/>
          <w:szCs w:val="24"/>
        </w:rPr>
      </w:pPr>
      <w:r w:rsidRPr="000A7DF2">
        <w:rPr>
          <w:rFonts w:cs="Calibri"/>
          <w:bCs/>
          <w:sz w:val="24"/>
          <w:szCs w:val="24"/>
        </w:rPr>
        <w:t>The River Esk by Whitecraigs, within Dalkeith Country Park; and</w:t>
      </w:r>
    </w:p>
    <w:p w14:paraId="53FFEC8B" w14:textId="0B6112FA" w:rsidR="00282807" w:rsidRPr="000A7DF2" w:rsidRDefault="00282807" w:rsidP="00282807">
      <w:pPr>
        <w:pStyle w:val="ListParagraph"/>
        <w:numPr>
          <w:ilvl w:val="0"/>
          <w:numId w:val="14"/>
        </w:numPr>
        <w:rPr>
          <w:rFonts w:cs="Calibri"/>
          <w:bCs/>
          <w:sz w:val="24"/>
          <w:szCs w:val="24"/>
        </w:rPr>
      </w:pPr>
      <w:r w:rsidRPr="000A7DF2">
        <w:rPr>
          <w:rFonts w:cs="Calibri"/>
          <w:bCs/>
          <w:sz w:val="24"/>
          <w:szCs w:val="24"/>
        </w:rPr>
        <w:t xml:space="preserve">Rosebery and </w:t>
      </w:r>
      <w:proofErr w:type="spellStart"/>
      <w:r w:rsidRPr="000A7DF2">
        <w:rPr>
          <w:rFonts w:cs="Calibri"/>
          <w:bCs/>
          <w:sz w:val="24"/>
          <w:szCs w:val="24"/>
        </w:rPr>
        <w:t>Edgelaw</w:t>
      </w:r>
      <w:proofErr w:type="spellEnd"/>
      <w:r w:rsidRPr="000A7DF2">
        <w:rPr>
          <w:rFonts w:cs="Calibri"/>
          <w:bCs/>
          <w:sz w:val="24"/>
          <w:szCs w:val="24"/>
        </w:rPr>
        <w:t xml:space="preserve"> Reservoirs.</w:t>
      </w:r>
    </w:p>
    <w:p w14:paraId="6E2868E0" w14:textId="219C32FF" w:rsidR="00282807" w:rsidRPr="00282807" w:rsidRDefault="00282807" w:rsidP="00282807">
      <w:pPr>
        <w:pStyle w:val="ListParagraph"/>
        <w:ind w:left="780"/>
        <w:rPr>
          <w:rFonts w:cs="Calibri"/>
          <w:b/>
          <w:sz w:val="24"/>
          <w:szCs w:val="24"/>
        </w:rPr>
      </w:pPr>
      <w:r w:rsidRPr="000A7DF2">
        <w:rPr>
          <w:rFonts w:cs="Calibri"/>
          <w:bCs/>
          <w:sz w:val="24"/>
          <w:szCs w:val="24"/>
        </w:rPr>
        <w:lastRenderedPageBreak/>
        <w:t xml:space="preserve">The changes to the built environment will </w:t>
      </w:r>
      <w:r w:rsidR="00D6534E">
        <w:rPr>
          <w:rFonts w:cs="Calibri"/>
          <w:bCs/>
          <w:sz w:val="24"/>
          <w:szCs w:val="24"/>
        </w:rPr>
        <w:t xml:space="preserve">have the potential to </w:t>
      </w:r>
      <w:r w:rsidRPr="000A7DF2">
        <w:rPr>
          <w:rFonts w:cs="Calibri"/>
          <w:bCs/>
          <w:sz w:val="24"/>
          <w:szCs w:val="24"/>
        </w:rPr>
        <w:t xml:space="preserve">impact people </w:t>
      </w:r>
      <w:r w:rsidR="00D6534E">
        <w:rPr>
          <w:rFonts w:cs="Calibri"/>
          <w:bCs/>
          <w:sz w:val="24"/>
          <w:szCs w:val="24"/>
        </w:rPr>
        <w:t xml:space="preserve">who </w:t>
      </w:r>
      <w:r w:rsidRPr="000A7DF2">
        <w:rPr>
          <w:rFonts w:cs="Calibri"/>
          <w:bCs/>
          <w:sz w:val="24"/>
          <w:szCs w:val="24"/>
        </w:rPr>
        <w:t>view, access and interact with the water environment at these locations.</w:t>
      </w:r>
    </w:p>
    <w:p w14:paraId="0BE28E34" w14:textId="77777777" w:rsidR="00E03260" w:rsidRDefault="00E03260" w:rsidP="002D24D8">
      <w:pPr>
        <w:rPr>
          <w:rFonts w:cs="Calibri"/>
          <w:sz w:val="24"/>
          <w:szCs w:val="24"/>
        </w:rPr>
      </w:pP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12FE4F37" w:rsidR="001146FF" w:rsidRPr="00E52557" w:rsidRDefault="000A7DF2" w:rsidP="004300C6">
            <w:pPr>
              <w:pStyle w:val="ListParagraph"/>
              <w:ind w:left="0"/>
              <w:rPr>
                <w:rFonts w:cs="Calibri"/>
                <w:sz w:val="24"/>
                <w:szCs w:val="24"/>
              </w:rPr>
            </w:pPr>
            <w:r>
              <w:rPr>
                <w:rFonts w:cs="Calibri"/>
                <w:sz w:val="24"/>
                <w:szCs w:val="24"/>
              </w:rPr>
              <w:t>X</w:t>
            </w:r>
          </w:p>
        </w:tc>
        <w:tc>
          <w:tcPr>
            <w:tcW w:w="1134" w:type="dxa"/>
          </w:tcPr>
          <w:p w14:paraId="36ACB364" w14:textId="77777777" w:rsidR="001146FF" w:rsidRPr="00E52557"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4131AD26" w:rsidR="001146FF" w:rsidRPr="00E52557" w:rsidRDefault="000A7DF2" w:rsidP="004300C6">
            <w:pPr>
              <w:pStyle w:val="ListParagraph"/>
              <w:ind w:left="0"/>
              <w:rPr>
                <w:rFonts w:cs="Calibri"/>
                <w:sz w:val="24"/>
                <w:szCs w:val="24"/>
              </w:rPr>
            </w:pPr>
            <w:r>
              <w:rPr>
                <w:rFonts w:cs="Calibri"/>
                <w:sz w:val="24"/>
                <w:szCs w:val="24"/>
              </w:rPr>
              <w:t>X</w:t>
            </w:r>
          </w:p>
        </w:tc>
        <w:tc>
          <w:tcPr>
            <w:tcW w:w="1134" w:type="dxa"/>
          </w:tcPr>
          <w:p w14:paraId="5E2FB0CB" w14:textId="77777777" w:rsidR="001146FF" w:rsidRPr="00E52557" w:rsidRDefault="001146FF" w:rsidP="004300C6">
            <w:pPr>
              <w:pStyle w:val="ListParagraph"/>
              <w:ind w:left="0"/>
              <w:rPr>
                <w:rFonts w:cs="Calibri"/>
                <w:sz w:val="24"/>
                <w:szCs w:val="24"/>
              </w:rPr>
            </w:pP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29CC5F2D" w:rsidR="001146FF" w:rsidRPr="00E52557" w:rsidRDefault="000A7DF2" w:rsidP="004300C6">
            <w:pPr>
              <w:pStyle w:val="ListParagraph"/>
              <w:ind w:left="0"/>
              <w:rPr>
                <w:rFonts w:cs="Calibri"/>
                <w:sz w:val="24"/>
                <w:szCs w:val="24"/>
              </w:rPr>
            </w:pPr>
            <w:r>
              <w:rPr>
                <w:rFonts w:cs="Calibri"/>
                <w:sz w:val="24"/>
                <w:szCs w:val="24"/>
              </w:rPr>
              <w:t>X</w:t>
            </w:r>
          </w:p>
        </w:tc>
        <w:tc>
          <w:tcPr>
            <w:tcW w:w="1134" w:type="dxa"/>
          </w:tcPr>
          <w:p w14:paraId="62E26AA0" w14:textId="77777777" w:rsidR="001146FF" w:rsidRPr="00E52557" w:rsidRDefault="001146FF" w:rsidP="001D4C04">
            <w:pPr>
              <w:pStyle w:val="ListParagraph"/>
              <w:ind w:left="0"/>
              <w:rPr>
                <w:rFonts w:cs="Calibri"/>
                <w:sz w:val="24"/>
                <w:szCs w:val="24"/>
              </w:rPr>
            </w:pP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15083C06" w:rsidR="001146FF" w:rsidRPr="00E52557" w:rsidRDefault="000A7DF2" w:rsidP="004300C6">
            <w:pPr>
              <w:pStyle w:val="ListParagraph"/>
              <w:ind w:left="0"/>
              <w:rPr>
                <w:rFonts w:cs="Calibri"/>
                <w:sz w:val="24"/>
                <w:szCs w:val="24"/>
              </w:rPr>
            </w:pPr>
            <w:r>
              <w:rPr>
                <w:rFonts w:cs="Calibri"/>
                <w:sz w:val="24"/>
                <w:szCs w:val="24"/>
              </w:rPr>
              <w:t>X</w:t>
            </w:r>
          </w:p>
        </w:tc>
        <w:tc>
          <w:tcPr>
            <w:tcW w:w="1134" w:type="dxa"/>
          </w:tcPr>
          <w:p w14:paraId="4BE21555" w14:textId="6BA43167" w:rsidR="001146FF" w:rsidRPr="00E52557" w:rsidRDefault="001146FF" w:rsidP="004300C6">
            <w:pPr>
              <w:pStyle w:val="ListParagraph"/>
              <w:ind w:left="0"/>
              <w:rPr>
                <w:rFonts w:cs="Calibri"/>
                <w:sz w:val="24"/>
                <w:szCs w:val="24"/>
              </w:rPr>
            </w:pP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718BC068" w14:textId="6C420F2E" w:rsidR="00A62A92" w:rsidRDefault="005C45F8" w:rsidP="00157556">
      <w:pPr>
        <w:pStyle w:val="ListParagraph"/>
        <w:ind w:left="360"/>
        <w:rPr>
          <w:rFonts w:cs="Calibri"/>
          <w:bCs/>
          <w:sz w:val="24"/>
          <w:szCs w:val="24"/>
        </w:rPr>
      </w:pPr>
      <w:r>
        <w:rPr>
          <w:rFonts w:cs="Calibri"/>
          <w:bCs/>
          <w:sz w:val="24"/>
          <w:szCs w:val="24"/>
        </w:rPr>
        <w:t xml:space="preserve">The Council commenced its public engagement on the Scheme in February 2018 with a ‘call for information’ day. This was followed by a two-day exhibition in July 2019. Public engagement was interrupted in March 2020 by the COVID pandemic but recommenced in September 2021 with a series of </w:t>
      </w:r>
      <w:r w:rsidR="00A62A92">
        <w:rPr>
          <w:rFonts w:cs="Calibri"/>
          <w:bCs/>
          <w:sz w:val="24"/>
          <w:szCs w:val="24"/>
        </w:rPr>
        <w:t>seven</w:t>
      </w:r>
      <w:r>
        <w:rPr>
          <w:rFonts w:cs="Calibri"/>
          <w:bCs/>
          <w:sz w:val="24"/>
          <w:szCs w:val="24"/>
        </w:rPr>
        <w:t xml:space="preserve"> online local area consultation meetings.</w:t>
      </w:r>
      <w:r w:rsidR="00A62A92">
        <w:rPr>
          <w:rFonts w:cs="Calibri"/>
          <w:bCs/>
          <w:sz w:val="24"/>
          <w:szCs w:val="24"/>
        </w:rPr>
        <w:t xml:space="preserve"> Further local area meetings took place in-person during February and March 2022, and again in February and April 2023. One-to-one drop-in sessions were held weekly from February to June 2023 in the Brunton Theatre. A second two-day public exhibition was held in June 2023.</w:t>
      </w:r>
    </w:p>
    <w:p w14:paraId="67CD365F" w14:textId="7B79D159" w:rsidR="00FE226A" w:rsidRPr="00FE226A" w:rsidRDefault="00157556" w:rsidP="00FE226A">
      <w:pPr>
        <w:pStyle w:val="ListParagraph"/>
        <w:ind w:left="360"/>
        <w:rPr>
          <w:rFonts w:cs="Calibri"/>
          <w:bCs/>
          <w:sz w:val="24"/>
          <w:szCs w:val="24"/>
        </w:rPr>
      </w:pPr>
      <w:r w:rsidRPr="00157556">
        <w:rPr>
          <w:rFonts w:cs="Calibri"/>
          <w:bCs/>
          <w:sz w:val="24"/>
          <w:szCs w:val="24"/>
        </w:rPr>
        <w:t xml:space="preserve">The Scheme was notified in March 2024. In accordance with the Flood Risk Management (Scotland) Act 2009, the public had </w:t>
      </w:r>
      <w:r>
        <w:rPr>
          <w:rFonts w:cs="Calibri"/>
          <w:bCs/>
          <w:sz w:val="24"/>
          <w:szCs w:val="24"/>
        </w:rPr>
        <w:t>a minimum of 28 days</w:t>
      </w:r>
      <w:r w:rsidRPr="00157556">
        <w:rPr>
          <w:rFonts w:cs="Calibri"/>
          <w:bCs/>
          <w:sz w:val="24"/>
          <w:szCs w:val="24"/>
        </w:rPr>
        <w:t xml:space="preserve"> to inspect the proposals and submit objections.</w:t>
      </w:r>
      <w:r>
        <w:rPr>
          <w:rFonts w:cs="Calibri"/>
          <w:bCs/>
          <w:sz w:val="24"/>
          <w:szCs w:val="24"/>
        </w:rPr>
        <w:t xml:space="preserve"> The </w:t>
      </w:r>
      <w:r w:rsidR="00A62A92">
        <w:rPr>
          <w:rFonts w:cs="Calibri"/>
          <w:bCs/>
          <w:sz w:val="24"/>
          <w:szCs w:val="24"/>
        </w:rPr>
        <w:t>C</w:t>
      </w:r>
      <w:r>
        <w:rPr>
          <w:rFonts w:cs="Calibri"/>
          <w:bCs/>
          <w:sz w:val="24"/>
          <w:szCs w:val="24"/>
        </w:rPr>
        <w:t xml:space="preserve">ouncil subsequently offered one-to-one meetings with all those who </w:t>
      </w:r>
      <w:r w:rsidR="00A62A92">
        <w:rPr>
          <w:rFonts w:cs="Calibri"/>
          <w:bCs/>
          <w:sz w:val="24"/>
          <w:szCs w:val="24"/>
        </w:rPr>
        <w:t xml:space="preserve">had </w:t>
      </w:r>
      <w:r>
        <w:rPr>
          <w:rFonts w:cs="Calibri"/>
          <w:bCs/>
          <w:sz w:val="24"/>
          <w:szCs w:val="24"/>
        </w:rPr>
        <w:t xml:space="preserve">objected, and 54 objectors accepted </w:t>
      </w:r>
      <w:r w:rsidR="00A62A92">
        <w:rPr>
          <w:rFonts w:cs="Calibri"/>
          <w:bCs/>
          <w:sz w:val="24"/>
          <w:szCs w:val="24"/>
        </w:rPr>
        <w:t>this</w:t>
      </w:r>
      <w:r>
        <w:rPr>
          <w:rFonts w:cs="Calibri"/>
          <w:bCs/>
          <w:sz w:val="24"/>
          <w:szCs w:val="24"/>
        </w:rPr>
        <w:t xml:space="preserve"> offer. These</w:t>
      </w:r>
      <w:r w:rsidR="00A62A92">
        <w:rPr>
          <w:rFonts w:cs="Calibri"/>
          <w:bCs/>
          <w:sz w:val="24"/>
          <w:szCs w:val="24"/>
        </w:rPr>
        <w:t xml:space="preserve"> meetings</w:t>
      </w:r>
      <w:r>
        <w:rPr>
          <w:rFonts w:cs="Calibri"/>
          <w:bCs/>
          <w:sz w:val="24"/>
          <w:szCs w:val="24"/>
        </w:rPr>
        <w:t xml:space="preserve"> took place between November 2024 and May 2025.</w:t>
      </w:r>
      <w:r w:rsidR="00B24D50">
        <w:rPr>
          <w:rFonts w:cs="Calibri"/>
          <w:bCs/>
          <w:sz w:val="24"/>
          <w:szCs w:val="24"/>
        </w:rPr>
        <w:t xml:space="preserve"> The project team also facilitated a public meeting with representatives from a number of secondary schools at an event </w:t>
      </w:r>
      <w:r w:rsidR="00FE226A">
        <w:rPr>
          <w:rFonts w:cs="Calibri"/>
          <w:bCs/>
          <w:sz w:val="24"/>
          <w:szCs w:val="24"/>
        </w:rPr>
        <w:t>in February 2024.</w:t>
      </w:r>
    </w:p>
    <w:p w14:paraId="5D8B4CDA" w14:textId="0B745489" w:rsidR="003F6ABB" w:rsidRDefault="00A62A92" w:rsidP="009613F1">
      <w:pPr>
        <w:pStyle w:val="ListParagraph"/>
        <w:ind w:left="360"/>
        <w:rPr>
          <w:rFonts w:cs="Calibri"/>
          <w:bCs/>
          <w:sz w:val="24"/>
          <w:szCs w:val="24"/>
        </w:rPr>
      </w:pPr>
      <w:r>
        <w:rPr>
          <w:rFonts w:cs="Calibri"/>
          <w:bCs/>
          <w:sz w:val="24"/>
          <w:szCs w:val="24"/>
        </w:rPr>
        <w:t xml:space="preserve">The public had the opportunity to contribute </w:t>
      </w:r>
      <w:proofErr w:type="gramStart"/>
      <w:r>
        <w:rPr>
          <w:rFonts w:cs="Calibri"/>
          <w:bCs/>
          <w:sz w:val="24"/>
          <w:szCs w:val="24"/>
        </w:rPr>
        <w:t>in</w:t>
      </w:r>
      <w:proofErr w:type="gramEnd"/>
      <w:r>
        <w:rPr>
          <w:rFonts w:cs="Calibri"/>
          <w:bCs/>
          <w:sz w:val="24"/>
          <w:szCs w:val="24"/>
        </w:rPr>
        <w:t xml:space="preserve"> </w:t>
      </w:r>
      <w:r w:rsidR="009613F1">
        <w:rPr>
          <w:rFonts w:cs="Calibri"/>
          <w:bCs/>
          <w:sz w:val="24"/>
          <w:szCs w:val="24"/>
        </w:rPr>
        <w:t>a variety of ways depending upon the nature and format of each event</w:t>
      </w:r>
      <w:r w:rsidR="009036FC">
        <w:rPr>
          <w:rFonts w:cs="Calibri"/>
          <w:bCs/>
          <w:sz w:val="24"/>
          <w:szCs w:val="24"/>
        </w:rPr>
        <w:t>, with accessible options throughout</w:t>
      </w:r>
      <w:r w:rsidR="009613F1">
        <w:rPr>
          <w:rFonts w:cs="Calibri"/>
          <w:bCs/>
          <w:sz w:val="24"/>
          <w:szCs w:val="24"/>
        </w:rPr>
        <w:t xml:space="preserve">. This included asking questions at town hall meetings, </w:t>
      </w:r>
      <w:r w:rsidR="009613F1" w:rsidRPr="009036FC">
        <w:rPr>
          <w:rFonts w:cs="Calibri"/>
          <w:bCs/>
          <w:sz w:val="24"/>
          <w:szCs w:val="24"/>
        </w:rPr>
        <w:t xml:space="preserve">leaving </w:t>
      </w:r>
      <w:proofErr w:type="spellStart"/>
      <w:r w:rsidR="009613F1" w:rsidRPr="009036FC">
        <w:rPr>
          <w:rFonts w:cs="Calibri"/>
          <w:bCs/>
          <w:sz w:val="24"/>
          <w:szCs w:val="24"/>
        </w:rPr>
        <w:t>post-it</w:t>
      </w:r>
      <w:proofErr w:type="spellEnd"/>
      <w:r w:rsidR="009613F1" w:rsidRPr="009036FC">
        <w:rPr>
          <w:rFonts w:cs="Calibri"/>
          <w:bCs/>
          <w:sz w:val="24"/>
          <w:szCs w:val="24"/>
        </w:rPr>
        <w:t xml:space="preserve"> notes on design proposals at workshops, completing feedback questionnaires at exhibitions, and submitting objections when the scheme was notified.</w:t>
      </w:r>
      <w:r w:rsidR="0090632D" w:rsidRPr="009036FC">
        <w:rPr>
          <w:rFonts w:cs="Calibri"/>
          <w:bCs/>
          <w:sz w:val="24"/>
          <w:szCs w:val="24"/>
        </w:rPr>
        <w:t xml:space="preserve">  The public could also contact the project team via a dedicated email which was promoted at public events and through a newsletter and public notice boards erected throughout the town.</w:t>
      </w:r>
    </w:p>
    <w:p w14:paraId="0BF6A682" w14:textId="7AED6C2A" w:rsidR="00567CE7" w:rsidRPr="009036FC" w:rsidRDefault="00567CE7" w:rsidP="009613F1">
      <w:pPr>
        <w:pStyle w:val="ListParagraph"/>
        <w:ind w:left="360"/>
        <w:rPr>
          <w:rFonts w:cs="Calibri"/>
          <w:sz w:val="24"/>
          <w:szCs w:val="24"/>
        </w:rPr>
      </w:pPr>
      <w:r>
        <w:rPr>
          <w:rFonts w:cs="Calibri"/>
          <w:sz w:val="24"/>
          <w:szCs w:val="24"/>
        </w:rPr>
        <w:t>An Environmental Impact Assessment (EIA) was published alongside the Scheme in March 2024 and considered impacts on Population and Human Health, Noise and Vibration, Townscape, Land Contamination, Air Quality, Cultural Heritage and the Cumulative Effects of the Scheme, amongst others – the public and other stakeholders had the opportunity to make a representation on the EIA report by 24 April 2024.</w:t>
      </w:r>
    </w:p>
    <w:p w14:paraId="44102B4D" w14:textId="77777777" w:rsidR="003F6ABB" w:rsidRPr="009036FC" w:rsidRDefault="003F6ABB" w:rsidP="002D24D8">
      <w:pPr>
        <w:pStyle w:val="ListParagraph"/>
        <w:rPr>
          <w:rFonts w:cs="Calibri"/>
          <w:sz w:val="24"/>
          <w:szCs w:val="24"/>
        </w:rPr>
      </w:pPr>
    </w:p>
    <w:p w14:paraId="3B59F639" w14:textId="77777777" w:rsidR="002A38D8" w:rsidRPr="009036FC" w:rsidRDefault="002D24D8" w:rsidP="00E52557">
      <w:pPr>
        <w:pStyle w:val="ListParagraph"/>
        <w:numPr>
          <w:ilvl w:val="1"/>
          <w:numId w:val="9"/>
        </w:numPr>
        <w:rPr>
          <w:rFonts w:cs="Calibri"/>
          <w:b/>
          <w:sz w:val="24"/>
          <w:szCs w:val="24"/>
        </w:rPr>
      </w:pPr>
      <w:r w:rsidRPr="009036FC">
        <w:rPr>
          <w:rFonts w:cs="Calibri"/>
          <w:b/>
          <w:sz w:val="24"/>
          <w:szCs w:val="24"/>
        </w:rPr>
        <w:t xml:space="preserve">What information/data have you used to inform the </w:t>
      </w:r>
      <w:r w:rsidR="002A38D8" w:rsidRPr="009036FC">
        <w:rPr>
          <w:rFonts w:cs="Calibri"/>
          <w:b/>
          <w:sz w:val="24"/>
          <w:szCs w:val="24"/>
        </w:rPr>
        <w:t xml:space="preserve">development of the </w:t>
      </w:r>
      <w:r w:rsidRPr="009036FC">
        <w:rPr>
          <w:rFonts w:cs="Calibri"/>
          <w:b/>
          <w:sz w:val="24"/>
          <w:szCs w:val="24"/>
        </w:rPr>
        <w:t xml:space="preserve">policy to </w:t>
      </w:r>
      <w:r w:rsidR="00CE1D01" w:rsidRPr="009036FC">
        <w:rPr>
          <w:rFonts w:cs="Calibri"/>
          <w:b/>
          <w:sz w:val="24"/>
          <w:szCs w:val="24"/>
        </w:rPr>
        <w:t>d</w:t>
      </w:r>
      <w:r w:rsidRPr="009036FC">
        <w:rPr>
          <w:rFonts w:cs="Calibri"/>
          <w:b/>
          <w:sz w:val="24"/>
          <w:szCs w:val="24"/>
        </w:rPr>
        <w:t>at</w:t>
      </w:r>
      <w:r w:rsidR="002A38D8" w:rsidRPr="009036FC">
        <w:rPr>
          <w:rFonts w:cs="Calibri"/>
          <w:b/>
          <w:sz w:val="24"/>
          <w:szCs w:val="24"/>
        </w:rPr>
        <w:t xml:space="preserve">e? </w:t>
      </w:r>
    </w:p>
    <w:p w14:paraId="18A25462" w14:textId="21D6F1AC" w:rsidR="00AC0F08" w:rsidRDefault="00157556" w:rsidP="006C2430">
      <w:pPr>
        <w:pStyle w:val="ListParagraph"/>
        <w:ind w:left="360"/>
        <w:rPr>
          <w:rFonts w:cs="Calibri"/>
          <w:bCs/>
          <w:sz w:val="24"/>
          <w:szCs w:val="24"/>
        </w:rPr>
      </w:pPr>
      <w:r w:rsidRPr="009036FC">
        <w:rPr>
          <w:rFonts w:cs="Calibri"/>
          <w:bCs/>
          <w:sz w:val="24"/>
          <w:szCs w:val="24"/>
        </w:rPr>
        <w:t>The design of the Scheme has been informed by the development of a comprehensive flood model</w:t>
      </w:r>
      <w:r w:rsidR="006C2430" w:rsidRPr="009036FC">
        <w:rPr>
          <w:rFonts w:cs="Calibri"/>
          <w:bCs/>
          <w:sz w:val="24"/>
          <w:szCs w:val="24"/>
        </w:rPr>
        <w:t xml:space="preserve">. The model was constructed with industry-standard </w:t>
      </w:r>
      <w:r w:rsidR="006C2430">
        <w:rPr>
          <w:rFonts w:cs="Calibri"/>
          <w:bCs/>
          <w:sz w:val="24"/>
          <w:szCs w:val="24"/>
        </w:rPr>
        <w:t>Flood Modeller software, u</w:t>
      </w:r>
      <w:r w:rsidR="006C2430" w:rsidRPr="006C2430">
        <w:rPr>
          <w:rFonts w:cs="Calibri"/>
          <w:bCs/>
          <w:sz w:val="24"/>
          <w:szCs w:val="24"/>
        </w:rPr>
        <w:t>sing established methodology</w:t>
      </w:r>
      <w:r w:rsidR="006C2430">
        <w:rPr>
          <w:rFonts w:cs="Calibri"/>
          <w:bCs/>
          <w:sz w:val="24"/>
          <w:szCs w:val="24"/>
        </w:rPr>
        <w:t xml:space="preserve"> and a detailed topographic survey of the River Esk and its floodplain. </w:t>
      </w:r>
      <w:r w:rsidR="00AC0F08">
        <w:rPr>
          <w:rFonts w:cs="Calibri"/>
          <w:bCs/>
          <w:sz w:val="24"/>
          <w:szCs w:val="24"/>
        </w:rPr>
        <w:t>R</w:t>
      </w:r>
      <w:r w:rsidR="006C2430" w:rsidRPr="006C2430">
        <w:rPr>
          <w:rFonts w:cs="Calibri"/>
          <w:bCs/>
          <w:sz w:val="24"/>
          <w:szCs w:val="24"/>
        </w:rPr>
        <w:t>iver flow data from SEPA’s gauging station in the town</w:t>
      </w:r>
      <w:r w:rsidR="00AC0F08">
        <w:rPr>
          <w:rFonts w:cs="Calibri"/>
          <w:bCs/>
          <w:sz w:val="24"/>
          <w:szCs w:val="24"/>
        </w:rPr>
        <w:t xml:space="preserve"> was assessed together with a hydrological assessment of the River Esk catchment.</w:t>
      </w:r>
      <w:r w:rsidR="00AC0F08" w:rsidRPr="00AC0F08">
        <w:rPr>
          <w:rFonts w:cs="Calibri"/>
          <w:bCs/>
          <w:sz w:val="24"/>
          <w:szCs w:val="24"/>
        </w:rPr>
        <w:t xml:space="preserve"> </w:t>
      </w:r>
      <w:r w:rsidR="00AC0F08" w:rsidRPr="006C2430">
        <w:rPr>
          <w:rFonts w:cs="Calibri"/>
          <w:bCs/>
          <w:sz w:val="24"/>
          <w:szCs w:val="24"/>
        </w:rPr>
        <w:t xml:space="preserve">The potential effects of climate change on Musselburgh’s flood risk were incorporated into </w:t>
      </w:r>
      <w:r w:rsidR="00AC0F08" w:rsidRPr="006C2430">
        <w:rPr>
          <w:rFonts w:cs="Calibri"/>
          <w:bCs/>
          <w:sz w:val="24"/>
          <w:szCs w:val="24"/>
        </w:rPr>
        <w:lastRenderedPageBreak/>
        <w:t>the model by using the UK Government’s latest climate change projections (UKCP18) for sea level rise, peak rainfall intensity and peak river flow.</w:t>
      </w:r>
    </w:p>
    <w:p w14:paraId="41E8A225" w14:textId="4637EAE4" w:rsidR="00AC0F08" w:rsidRDefault="00AC0F08" w:rsidP="006C2430">
      <w:pPr>
        <w:pStyle w:val="ListParagraph"/>
        <w:ind w:left="360"/>
        <w:rPr>
          <w:rFonts w:cs="Calibri"/>
          <w:bCs/>
          <w:sz w:val="24"/>
          <w:szCs w:val="24"/>
        </w:rPr>
      </w:pPr>
      <w:r>
        <w:rPr>
          <w:rFonts w:cs="Calibri"/>
          <w:bCs/>
          <w:sz w:val="24"/>
          <w:szCs w:val="24"/>
        </w:rPr>
        <w:t xml:space="preserve">A series of baseline model runs for the present-day and future-with-climate-change were then conducted for return periods from 1 in 1-year (100% AEP) to 1 in 1000-year </w:t>
      </w:r>
      <w:r w:rsidR="00E63045">
        <w:rPr>
          <w:rFonts w:cs="Calibri"/>
          <w:bCs/>
          <w:sz w:val="24"/>
          <w:szCs w:val="24"/>
        </w:rPr>
        <w:t xml:space="preserve">(0.1% AEP) </w:t>
      </w:r>
      <w:r>
        <w:rPr>
          <w:rFonts w:cs="Calibri"/>
          <w:bCs/>
          <w:sz w:val="24"/>
          <w:szCs w:val="24"/>
        </w:rPr>
        <w:t>flood events. The flood extent and number of properties affected were thus determined for each event.</w:t>
      </w:r>
    </w:p>
    <w:p w14:paraId="07D4CC8A" w14:textId="48224C1C" w:rsidR="00AC0F08" w:rsidRDefault="00AC0F08" w:rsidP="006C2430">
      <w:pPr>
        <w:pStyle w:val="ListParagraph"/>
        <w:ind w:left="360"/>
        <w:rPr>
          <w:rFonts w:cs="Calibri"/>
          <w:bCs/>
          <w:sz w:val="24"/>
          <w:szCs w:val="24"/>
        </w:rPr>
      </w:pPr>
      <w:r>
        <w:rPr>
          <w:rFonts w:cs="Calibri"/>
          <w:bCs/>
          <w:sz w:val="24"/>
          <w:szCs w:val="24"/>
        </w:rPr>
        <w:t xml:space="preserve">An option appraisal was conducted to determine the </w:t>
      </w:r>
      <w:r w:rsidR="00E63045">
        <w:rPr>
          <w:rFonts w:cs="Calibri"/>
          <w:bCs/>
          <w:sz w:val="24"/>
          <w:szCs w:val="24"/>
        </w:rPr>
        <w:t>‘P</w:t>
      </w:r>
      <w:r>
        <w:rPr>
          <w:rFonts w:cs="Calibri"/>
          <w:bCs/>
          <w:sz w:val="24"/>
          <w:szCs w:val="24"/>
        </w:rPr>
        <w:t xml:space="preserve">referred </w:t>
      </w:r>
      <w:r w:rsidR="00E63045">
        <w:rPr>
          <w:rFonts w:cs="Calibri"/>
          <w:bCs/>
          <w:sz w:val="24"/>
          <w:szCs w:val="24"/>
        </w:rPr>
        <w:t>Scheme’</w:t>
      </w:r>
      <w:r>
        <w:rPr>
          <w:rFonts w:cs="Calibri"/>
          <w:bCs/>
          <w:sz w:val="24"/>
          <w:szCs w:val="24"/>
        </w:rPr>
        <w:t xml:space="preserve"> that </w:t>
      </w:r>
      <w:r w:rsidR="00E63045">
        <w:rPr>
          <w:rFonts w:cs="Calibri"/>
          <w:bCs/>
          <w:sz w:val="24"/>
          <w:szCs w:val="24"/>
        </w:rPr>
        <w:t>would be</w:t>
      </w:r>
      <w:r>
        <w:rPr>
          <w:rFonts w:cs="Calibri"/>
          <w:bCs/>
          <w:sz w:val="24"/>
          <w:szCs w:val="24"/>
        </w:rPr>
        <w:t xml:space="preserve"> capable of delivering a 1 in 200-year</w:t>
      </w:r>
      <w:r w:rsidR="00E63045">
        <w:rPr>
          <w:rFonts w:cs="Calibri"/>
          <w:bCs/>
          <w:sz w:val="24"/>
          <w:szCs w:val="24"/>
        </w:rPr>
        <w:t xml:space="preserve"> (0.5% AEP)</w:t>
      </w:r>
      <w:r>
        <w:rPr>
          <w:rFonts w:cs="Calibri"/>
          <w:bCs/>
          <w:sz w:val="24"/>
          <w:szCs w:val="24"/>
        </w:rPr>
        <w:t xml:space="preserve"> standard of protection to the town</w:t>
      </w:r>
      <w:r w:rsidR="00E63045">
        <w:rPr>
          <w:rFonts w:cs="Calibri"/>
          <w:bCs/>
          <w:sz w:val="24"/>
          <w:szCs w:val="24"/>
        </w:rPr>
        <w:t>.</w:t>
      </w:r>
    </w:p>
    <w:p w14:paraId="7710ED8E" w14:textId="7A213402" w:rsidR="00E63045" w:rsidRDefault="00E63045" w:rsidP="006C2430">
      <w:pPr>
        <w:pStyle w:val="ListParagraph"/>
        <w:ind w:left="360"/>
        <w:rPr>
          <w:rFonts w:cs="Calibri"/>
          <w:bCs/>
          <w:sz w:val="24"/>
          <w:szCs w:val="24"/>
        </w:rPr>
      </w:pPr>
      <w:r>
        <w:rPr>
          <w:rFonts w:cs="Calibri"/>
          <w:bCs/>
          <w:sz w:val="24"/>
          <w:szCs w:val="24"/>
        </w:rPr>
        <w:t>Feedback from public engagement events and meetings with statutory stakeholders was used to refine the Preferred Scheme into an outline design. An Environmental Impact Assessment of the outline design was conducted, which also led to refinement of the design. The finalised outline design was notified in March 2024.</w:t>
      </w:r>
    </w:p>
    <w:p w14:paraId="0547CCF7" w14:textId="77777777" w:rsidR="00F47CC9" w:rsidRPr="00E52557" w:rsidRDefault="00F47CC9" w:rsidP="00044A44">
      <w:pPr>
        <w:pStyle w:val="ListParagraph"/>
        <w:ind w:left="0"/>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tcPr>
          <w:p w14:paraId="2E1CAEB7" w14:textId="7F9EE3B7" w:rsidR="00157556" w:rsidRDefault="00157556" w:rsidP="004300C6">
            <w:pPr>
              <w:rPr>
                <w:rFonts w:cs="Calibri"/>
                <w:sz w:val="24"/>
                <w:szCs w:val="24"/>
              </w:rPr>
            </w:pPr>
            <w:r>
              <w:rPr>
                <w:rFonts w:cs="Calibri"/>
                <w:sz w:val="24"/>
                <w:szCs w:val="24"/>
              </w:rPr>
              <w:t>In the order of 900 properties are currently at flood risk from a 0.5%</w:t>
            </w:r>
            <w:r w:rsidR="00F1687D">
              <w:rPr>
                <w:rFonts w:cs="Calibri"/>
                <w:sz w:val="24"/>
                <w:szCs w:val="24"/>
              </w:rPr>
              <w:t xml:space="preserve"> </w:t>
            </w:r>
            <w:r>
              <w:rPr>
                <w:rFonts w:cs="Calibri"/>
                <w:sz w:val="24"/>
                <w:szCs w:val="24"/>
              </w:rPr>
              <w:t xml:space="preserve">AEP </w:t>
            </w:r>
            <w:r w:rsidR="00F1687D">
              <w:rPr>
                <w:rFonts w:cs="Calibri"/>
                <w:sz w:val="24"/>
                <w:szCs w:val="24"/>
              </w:rPr>
              <w:t xml:space="preserve">(1 in 200 year) </w:t>
            </w:r>
            <w:r w:rsidR="004E0FAD">
              <w:rPr>
                <w:rFonts w:cs="Calibri"/>
                <w:sz w:val="24"/>
                <w:szCs w:val="24"/>
              </w:rPr>
              <w:t>event,</w:t>
            </w:r>
            <w:r>
              <w:rPr>
                <w:rFonts w:cs="Calibri"/>
                <w:sz w:val="24"/>
                <w:szCs w:val="24"/>
              </w:rPr>
              <w:t xml:space="preserve"> and this is projected to increase to in the order of 3000 properties by 2100 as a result of climate change</w:t>
            </w:r>
            <w:r w:rsidR="00F1687D">
              <w:rPr>
                <w:rFonts w:cs="Calibri"/>
                <w:sz w:val="24"/>
                <w:szCs w:val="24"/>
              </w:rPr>
              <w:t xml:space="preserve"> (1 in 200 year + climate change event).</w:t>
            </w:r>
          </w:p>
          <w:p w14:paraId="7304B800" w14:textId="2F342467" w:rsidR="006A50E0" w:rsidRPr="00E52557" w:rsidRDefault="00157556" w:rsidP="004300C6">
            <w:pPr>
              <w:rPr>
                <w:rFonts w:cs="Calibri"/>
                <w:sz w:val="24"/>
                <w:szCs w:val="24"/>
              </w:rPr>
            </w:pPr>
            <w:r>
              <w:rPr>
                <w:rFonts w:cs="Calibri"/>
                <w:sz w:val="24"/>
                <w:szCs w:val="24"/>
              </w:rPr>
              <w:t>Flooding has the potential to disproportionately affect</w:t>
            </w:r>
            <w:r w:rsidR="00D22D0E">
              <w:rPr>
                <w:rFonts w:cs="Calibri"/>
                <w:sz w:val="24"/>
                <w:szCs w:val="24"/>
              </w:rPr>
              <w:t xml:space="preserve"> protected and vulnerable groups that have less resilience to recover from such events. </w:t>
            </w:r>
            <w:r w:rsidR="0000207B">
              <w:rPr>
                <w:rFonts w:cs="Calibri"/>
                <w:sz w:val="24"/>
                <w:szCs w:val="24"/>
              </w:rPr>
              <w:t>Relevant</w:t>
            </w:r>
            <w:r w:rsidR="00D22D0E">
              <w:rPr>
                <w:rFonts w:cs="Calibri"/>
                <w:sz w:val="24"/>
                <w:szCs w:val="24"/>
              </w:rPr>
              <w:t xml:space="preserve"> groups include older people, disabled people, and those vulnerable to falling into poverty. </w:t>
            </w:r>
            <w:r>
              <w:rPr>
                <w:rFonts w:cs="Calibri"/>
                <w:sz w:val="24"/>
                <w:szCs w:val="24"/>
              </w:rPr>
              <w:t xml:space="preserve"> </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69D5041A" w:rsidR="009D17FB" w:rsidRPr="00E52557" w:rsidRDefault="001F5354" w:rsidP="004300C6">
            <w:pPr>
              <w:rPr>
                <w:rFonts w:cs="Calibri"/>
                <w:sz w:val="24"/>
                <w:szCs w:val="24"/>
              </w:rPr>
            </w:pPr>
            <w:r w:rsidRPr="00050089">
              <w:rPr>
                <w:rFonts w:cs="Calibri"/>
                <w:sz w:val="24"/>
                <w:szCs w:val="24"/>
              </w:rPr>
              <w:t>21,695 people live in the Musselburgh Ward, which accounts for 19.3% of the county’s population. (Scotland’s Census 2022).</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37778F9D" w:rsidR="009D17FB" w:rsidRPr="00E52557" w:rsidRDefault="00D22D0E" w:rsidP="004300C6">
            <w:pPr>
              <w:rPr>
                <w:rFonts w:cs="Calibri"/>
                <w:sz w:val="24"/>
                <w:szCs w:val="24"/>
              </w:rPr>
            </w:pPr>
            <w:r>
              <w:rPr>
                <w:rFonts w:cs="Calibri"/>
                <w:sz w:val="24"/>
                <w:szCs w:val="24"/>
              </w:rPr>
              <w:t xml:space="preserve">All properties inside the projected flood </w:t>
            </w:r>
            <w:r w:rsidR="0000207B">
              <w:rPr>
                <w:rFonts w:cs="Calibri"/>
                <w:sz w:val="24"/>
                <w:szCs w:val="24"/>
              </w:rPr>
              <w:t>extent</w:t>
            </w:r>
            <w:r>
              <w:rPr>
                <w:rFonts w:cs="Calibri"/>
                <w:sz w:val="24"/>
                <w:szCs w:val="24"/>
              </w:rPr>
              <w:t xml:space="preserve"> will have significantly reduce</w:t>
            </w:r>
            <w:r w:rsidR="00050089">
              <w:rPr>
                <w:rFonts w:cs="Calibri"/>
                <w:sz w:val="24"/>
                <w:szCs w:val="24"/>
              </w:rPr>
              <w:t>d</w:t>
            </w:r>
            <w:r>
              <w:rPr>
                <w:rFonts w:cs="Calibri"/>
                <w:sz w:val="24"/>
                <w:szCs w:val="24"/>
              </w:rPr>
              <w:t xml:space="preserve"> flood risk as a result of the scheme and will be protected from all fluvial and coastal flood events up to and including the 0.5%</w:t>
            </w:r>
            <w:r w:rsidR="009036FC">
              <w:rPr>
                <w:rFonts w:cs="Calibri"/>
                <w:sz w:val="24"/>
                <w:szCs w:val="24"/>
              </w:rPr>
              <w:t xml:space="preserve"> </w:t>
            </w:r>
            <w:r>
              <w:rPr>
                <w:rFonts w:cs="Calibri"/>
                <w:sz w:val="24"/>
                <w:szCs w:val="24"/>
              </w:rPr>
              <w:t>AEP event.</w:t>
            </w:r>
            <w:r w:rsidR="00FE226A">
              <w:rPr>
                <w:rFonts w:cs="Calibri"/>
                <w:sz w:val="24"/>
                <w:szCs w:val="24"/>
              </w:rPr>
              <w:t xml:space="preserve"> There will be increased flood resilience within </w:t>
            </w:r>
            <w:r w:rsidR="00FE226A">
              <w:rPr>
                <w:rFonts w:cs="Calibri"/>
                <w:sz w:val="24"/>
                <w:szCs w:val="24"/>
              </w:rPr>
              <w:lastRenderedPageBreak/>
              <w:t>the community and it is anticipated that there will be a positive impact on insurance premiums.</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lastRenderedPageBreak/>
              <w:t>What is the service user experience of those from protected or vulnerable groups?</w:t>
            </w:r>
          </w:p>
        </w:tc>
        <w:tc>
          <w:tcPr>
            <w:tcW w:w="5476" w:type="dxa"/>
          </w:tcPr>
          <w:p w14:paraId="5E9F37DF" w14:textId="37C91000" w:rsidR="009D17FB" w:rsidRPr="00E52557" w:rsidRDefault="009036FC" w:rsidP="004300C6">
            <w:pPr>
              <w:rPr>
                <w:rFonts w:cs="Calibri"/>
                <w:sz w:val="24"/>
                <w:szCs w:val="24"/>
              </w:rPr>
            </w:pPr>
            <w:r>
              <w:rPr>
                <w:rFonts w:cs="Calibri"/>
                <w:sz w:val="24"/>
                <w:szCs w:val="24"/>
              </w:rPr>
              <w:t>Although there would be construction impacts, the outcome would provide a significantly reduced flood risk to protected or vulnerable groups.</w:t>
            </w: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6CF15DDC" w:rsidR="009D17FB" w:rsidRPr="00BF1B35" w:rsidRDefault="00E63045" w:rsidP="00BF1B35">
            <w:pPr>
              <w:rPr>
                <w:rFonts w:cs="Calibri"/>
                <w:bCs/>
                <w:sz w:val="24"/>
                <w:szCs w:val="24"/>
              </w:rPr>
            </w:pPr>
            <w:r w:rsidRPr="00BF1B35">
              <w:rPr>
                <w:rFonts w:cs="Calibri"/>
                <w:sz w:val="24"/>
                <w:szCs w:val="24"/>
              </w:rPr>
              <w:t xml:space="preserve">The Scheme’s extensive public engagement programme has included a variety of </w:t>
            </w:r>
            <w:r w:rsidR="006818D9" w:rsidRPr="00BF1B35">
              <w:rPr>
                <w:rFonts w:cs="Calibri"/>
                <w:sz w:val="24"/>
                <w:szCs w:val="24"/>
              </w:rPr>
              <w:t xml:space="preserve">accessible </w:t>
            </w:r>
            <w:r w:rsidRPr="00BF1B35">
              <w:rPr>
                <w:rFonts w:cs="Calibri"/>
                <w:sz w:val="24"/>
                <w:szCs w:val="24"/>
              </w:rPr>
              <w:t>events</w:t>
            </w:r>
            <w:r w:rsidR="00CE1DEA" w:rsidRPr="00BF1B35">
              <w:rPr>
                <w:rFonts w:cs="Calibri"/>
                <w:sz w:val="24"/>
                <w:szCs w:val="24"/>
              </w:rPr>
              <w:t xml:space="preserve"> in different</w:t>
            </w:r>
            <w:r w:rsidRPr="00BF1B35">
              <w:rPr>
                <w:rFonts w:cs="Calibri"/>
                <w:sz w:val="24"/>
                <w:szCs w:val="24"/>
              </w:rPr>
              <w:t xml:space="preserve"> formats and locations </w:t>
            </w:r>
            <w:r w:rsidR="00CE1DEA" w:rsidRPr="00BF1B35">
              <w:rPr>
                <w:rFonts w:cs="Calibri"/>
                <w:sz w:val="24"/>
                <w:szCs w:val="24"/>
              </w:rPr>
              <w:t xml:space="preserve">over a six-year period. This was intended </w:t>
            </w:r>
            <w:r w:rsidRPr="00BF1B35">
              <w:rPr>
                <w:rFonts w:cs="Calibri"/>
                <w:sz w:val="24"/>
                <w:szCs w:val="24"/>
              </w:rPr>
              <w:t xml:space="preserve">to maximise the opportunity </w:t>
            </w:r>
            <w:r w:rsidR="00CE1DEA" w:rsidRPr="00BF1B35">
              <w:rPr>
                <w:rFonts w:cs="Calibri"/>
                <w:sz w:val="24"/>
                <w:szCs w:val="24"/>
              </w:rPr>
              <w:t xml:space="preserve">for those who wished </w:t>
            </w:r>
            <w:r w:rsidR="00B24D50" w:rsidRPr="00BF1B35">
              <w:rPr>
                <w:rFonts w:cs="Calibri"/>
                <w:sz w:val="24"/>
                <w:szCs w:val="24"/>
              </w:rPr>
              <w:t xml:space="preserve">to </w:t>
            </w:r>
            <w:r w:rsidR="00CE1DEA" w:rsidRPr="00BF1B35">
              <w:rPr>
                <w:rFonts w:cs="Calibri"/>
                <w:sz w:val="24"/>
                <w:szCs w:val="24"/>
              </w:rPr>
              <w:t xml:space="preserve">comment on the proposals to do so. Nevertheless, it is recognised that due to the complex technical nature of flood risk management, there has been less opportunity for individuals to ‘co-produce’ the design with the Council’s design consultants. Notwithstanding </w:t>
            </w:r>
            <w:r w:rsidR="00CE1DEA" w:rsidRPr="00BF1B35">
              <w:rPr>
                <w:rFonts w:cs="Calibri"/>
                <w:bCs/>
                <w:sz w:val="24"/>
                <w:szCs w:val="24"/>
              </w:rPr>
              <w:t>this, feedback from the public has demonstrably led to changes in the outline design.  This includes changes to the form, position and height of defences as well as reductions in the environmental impact of the Scheme.</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3D5404">
        <w:rPr>
          <w:rFonts w:cs="Calibri"/>
          <w:b/>
          <w:color w:val="A20000"/>
          <w:sz w:val="24"/>
          <w:szCs w:val="24"/>
        </w:rPr>
        <w:t xml:space="preserve">? </w:t>
      </w:r>
      <w:r w:rsidR="00F07697" w:rsidRPr="003D5404">
        <w:rPr>
          <w:rFonts w:cs="Calibri"/>
          <w:b/>
          <w:color w:val="A20000"/>
          <w:sz w:val="24"/>
          <w:szCs w:val="24"/>
        </w:rPr>
        <w:t>Please note that</w:t>
      </w:r>
      <w:r w:rsidR="005C6A03" w:rsidRPr="003D5404">
        <w:rPr>
          <w:rFonts w:cs="Calibri"/>
          <w:b/>
          <w:color w:val="A20000"/>
          <w:sz w:val="24"/>
          <w:szCs w:val="24"/>
        </w:rPr>
        <w:t xml:space="preserve"> where children will be affected by the policy</w:t>
      </w:r>
      <w:r w:rsidR="006A0408" w:rsidRPr="003D5404">
        <w:rPr>
          <w:rFonts w:cs="Calibri"/>
          <w:b/>
          <w:color w:val="A20000"/>
          <w:sz w:val="24"/>
          <w:szCs w:val="24"/>
        </w:rPr>
        <w:t xml:space="preserve"> or activity a Children</w:t>
      </w:r>
      <w:r w:rsidR="00B809A8" w:rsidRPr="003D5404">
        <w:rPr>
          <w:rFonts w:cs="Calibri"/>
          <w:b/>
          <w:color w:val="A20000"/>
          <w:sz w:val="24"/>
          <w:szCs w:val="24"/>
        </w:rPr>
        <w:t>’</w:t>
      </w:r>
      <w:r w:rsidR="006A0408" w:rsidRPr="003D5404">
        <w:rPr>
          <w:rFonts w:cs="Calibri"/>
          <w:b/>
          <w:color w:val="A20000"/>
          <w:sz w:val="24"/>
          <w:szCs w:val="24"/>
        </w:rPr>
        <w:t xml:space="preserve">s Rights </w:t>
      </w:r>
      <w:r w:rsidR="00B36D84" w:rsidRPr="003D5404">
        <w:rPr>
          <w:rFonts w:cs="Calibri"/>
          <w:b/>
          <w:color w:val="A20000"/>
          <w:sz w:val="24"/>
          <w:szCs w:val="24"/>
        </w:rPr>
        <w:t xml:space="preserve">and Wellbeing </w:t>
      </w:r>
      <w:r w:rsidR="006A0408" w:rsidRPr="003D5404">
        <w:rPr>
          <w:rFonts w:cs="Calibri"/>
          <w:b/>
          <w:color w:val="A20000"/>
          <w:sz w:val="24"/>
          <w:szCs w:val="24"/>
        </w:rPr>
        <w:t>Impact assessment must</w:t>
      </w:r>
      <w:r w:rsidR="006A0408" w:rsidRPr="003D5404">
        <w:rPr>
          <w:rFonts w:cs="Calibri"/>
          <w:b/>
          <w:color w:val="A20000"/>
          <w:sz w:val="24"/>
          <w:szCs w:val="24"/>
          <w:u w:val="single"/>
        </w:rPr>
        <w:t xml:space="preserve"> </w:t>
      </w:r>
      <w:r w:rsidR="00B809A8" w:rsidRPr="003D5404">
        <w:rPr>
          <w:rFonts w:cs="Calibri"/>
          <w:b/>
          <w:color w:val="A20000"/>
          <w:sz w:val="24"/>
          <w:szCs w:val="24"/>
          <w:u w:val="single"/>
        </w:rPr>
        <w:t>additionally</w:t>
      </w:r>
      <w:r w:rsidR="00B809A8" w:rsidRPr="003D5404">
        <w:rPr>
          <w:rFonts w:cs="Calibri"/>
          <w:b/>
          <w:color w:val="A20000"/>
          <w:sz w:val="24"/>
          <w:szCs w:val="24"/>
        </w:rPr>
        <w:t xml:space="preserve"> </w:t>
      </w:r>
      <w:r w:rsidR="006A0408" w:rsidRPr="003D5404">
        <w:rPr>
          <w:rFonts w:cs="Calibri"/>
          <w:b/>
          <w:color w:val="A2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592"/>
      </w:tblGrid>
      <w:tr w:rsidR="002D24D8" w:rsidRPr="00E52557" w14:paraId="3629EDA7" w14:textId="77777777" w:rsidTr="001F0D2C">
        <w:tc>
          <w:tcPr>
            <w:tcW w:w="4458"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592"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6C5FF0" w:rsidRPr="00E52557" w14:paraId="18660BA3" w14:textId="77777777" w:rsidTr="001F0D2C">
        <w:trPr>
          <w:trHeight w:val="891"/>
        </w:trPr>
        <w:tc>
          <w:tcPr>
            <w:tcW w:w="4458" w:type="dxa"/>
          </w:tcPr>
          <w:p w14:paraId="018EEF8C" w14:textId="77777777" w:rsidR="006C5FF0" w:rsidRPr="00E52557" w:rsidRDefault="006C5FF0" w:rsidP="006C5FF0">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6C5FF0" w:rsidRPr="00E739A4" w:rsidRDefault="006C5FF0" w:rsidP="006C5FF0">
            <w:pPr>
              <w:pStyle w:val="Title"/>
              <w:jc w:val="left"/>
              <w:rPr>
                <w:rFonts w:ascii="Calibri" w:hAnsi="Calibri" w:cs="Calibri"/>
                <w:sz w:val="24"/>
                <w:szCs w:val="24"/>
              </w:rPr>
            </w:pPr>
          </w:p>
        </w:tc>
        <w:tc>
          <w:tcPr>
            <w:tcW w:w="4592" w:type="dxa"/>
          </w:tcPr>
          <w:p w14:paraId="04B46A7E" w14:textId="5BCC79FD" w:rsidR="006C5FF0" w:rsidRPr="00E52557" w:rsidRDefault="006C5FF0" w:rsidP="006C5FF0">
            <w:pPr>
              <w:pStyle w:val="ListParagraph"/>
              <w:ind w:left="0"/>
              <w:rPr>
                <w:rFonts w:cs="Calibri"/>
                <w:sz w:val="24"/>
                <w:szCs w:val="24"/>
              </w:rPr>
            </w:pPr>
            <w:r>
              <w:rPr>
                <w:rFonts w:cs="Calibri"/>
                <w:sz w:val="24"/>
                <w:szCs w:val="24"/>
              </w:rPr>
              <w:t>Accessibility measures will be incorporated within the detailed design of the Scheme such that they are suitable for all users in accordance with relevant design standards. This will include the provision of ramps, steps, seating and amenity spaces.</w:t>
            </w:r>
            <w:r w:rsidR="004720D9">
              <w:rPr>
                <w:rFonts w:cs="Calibri"/>
                <w:sz w:val="24"/>
                <w:szCs w:val="24"/>
              </w:rPr>
              <w:t xml:space="preserve"> Consultation has taken place over a number of years, including in person events and objector meetings to allow the public to </w:t>
            </w:r>
            <w:r w:rsidR="004720D9">
              <w:rPr>
                <w:rFonts w:cs="Calibri"/>
                <w:sz w:val="24"/>
                <w:szCs w:val="24"/>
              </w:rPr>
              <w:lastRenderedPageBreak/>
              <w:t>feed in any issues with regards to equality and older people.</w:t>
            </w:r>
          </w:p>
        </w:tc>
      </w:tr>
      <w:tr w:rsidR="00E739A4" w:rsidRPr="00E52557" w14:paraId="23A5A3C1" w14:textId="77777777" w:rsidTr="001F0D2C">
        <w:trPr>
          <w:trHeight w:val="883"/>
        </w:trPr>
        <w:tc>
          <w:tcPr>
            <w:tcW w:w="4458"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lastRenderedPageBreak/>
              <w:t>Children and young people children</w:t>
            </w:r>
          </w:p>
          <w:p w14:paraId="3144F112" w14:textId="77777777" w:rsidR="00E739A4" w:rsidRPr="00E52557" w:rsidRDefault="00E739A4" w:rsidP="006368F3">
            <w:pPr>
              <w:pStyle w:val="Title"/>
              <w:jc w:val="left"/>
              <w:rPr>
                <w:rFonts w:cs="Calibri"/>
                <w:b/>
                <w:sz w:val="24"/>
                <w:szCs w:val="24"/>
              </w:rPr>
            </w:pPr>
          </w:p>
        </w:tc>
        <w:tc>
          <w:tcPr>
            <w:tcW w:w="4592" w:type="dxa"/>
          </w:tcPr>
          <w:p w14:paraId="672EA4C0" w14:textId="66F35AA8" w:rsidR="00E739A4" w:rsidRDefault="00F10CF3" w:rsidP="001D4C04">
            <w:pPr>
              <w:pStyle w:val="ListParagraph"/>
              <w:ind w:left="0"/>
              <w:rPr>
                <w:rFonts w:cs="Calibri"/>
                <w:sz w:val="24"/>
                <w:szCs w:val="24"/>
              </w:rPr>
            </w:pPr>
            <w:r>
              <w:rPr>
                <w:rFonts w:cs="Calibri"/>
                <w:sz w:val="24"/>
                <w:szCs w:val="24"/>
              </w:rPr>
              <w:t>The needs of children and young people will be incorporated within the detailed design of the Scheme. This will include the design of amenity spaces and measures to address visual impact.</w:t>
            </w:r>
            <w:r w:rsidR="00F1687D">
              <w:rPr>
                <w:rFonts w:cs="Calibri"/>
                <w:sz w:val="24"/>
                <w:szCs w:val="24"/>
              </w:rPr>
              <w:t xml:space="preserve"> A Children’s Rights Impact Assessment will be completed where required.</w:t>
            </w:r>
          </w:p>
          <w:p w14:paraId="3CE1206C" w14:textId="0A9EE965" w:rsidR="004720D9" w:rsidRPr="00E52557" w:rsidRDefault="004720D9" w:rsidP="001D4C04">
            <w:pPr>
              <w:pStyle w:val="ListParagraph"/>
              <w:ind w:left="0"/>
              <w:rPr>
                <w:rFonts w:cs="Calibri"/>
                <w:sz w:val="24"/>
                <w:szCs w:val="24"/>
              </w:rPr>
            </w:pPr>
            <w:r>
              <w:rPr>
                <w:rFonts w:cs="Calibri"/>
                <w:sz w:val="24"/>
                <w:szCs w:val="24"/>
              </w:rPr>
              <w:t xml:space="preserve">Consultation has taken place over a number of years, including in person events and objector meetings to allow the public to feed in any issues with regards to </w:t>
            </w:r>
            <w:r w:rsidR="00F1687D">
              <w:rPr>
                <w:rFonts w:cs="Calibri"/>
                <w:sz w:val="24"/>
                <w:szCs w:val="24"/>
              </w:rPr>
              <w:t>young people; t</w:t>
            </w:r>
            <w:r>
              <w:rPr>
                <w:rFonts w:cs="Calibri"/>
                <w:sz w:val="24"/>
                <w:szCs w:val="24"/>
              </w:rPr>
              <w:t>here was specifically an engagement event at a school in 2024.</w:t>
            </w:r>
          </w:p>
        </w:tc>
      </w:tr>
      <w:tr w:rsidR="00E739A4" w:rsidRPr="00E52557" w14:paraId="7EDE4102" w14:textId="77777777" w:rsidTr="001F0D2C">
        <w:trPr>
          <w:trHeight w:val="883"/>
        </w:trPr>
        <w:tc>
          <w:tcPr>
            <w:tcW w:w="4458"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592" w:type="dxa"/>
          </w:tcPr>
          <w:p w14:paraId="48FF2293" w14:textId="461F321B" w:rsidR="00E739A4" w:rsidRPr="00E52557" w:rsidRDefault="00C204B1" w:rsidP="001D4C04">
            <w:pPr>
              <w:pStyle w:val="ListParagraph"/>
              <w:ind w:left="0"/>
              <w:rPr>
                <w:rFonts w:cs="Calibri"/>
                <w:sz w:val="24"/>
                <w:szCs w:val="24"/>
              </w:rPr>
            </w:pPr>
            <w:r>
              <w:rPr>
                <w:rFonts w:cs="Calibri"/>
                <w:sz w:val="24"/>
                <w:szCs w:val="24"/>
              </w:rPr>
              <w:t xml:space="preserve">The safety of women and girls in </w:t>
            </w:r>
            <w:r w:rsidR="004005E1">
              <w:rPr>
                <w:rFonts w:cs="Calibri"/>
                <w:sz w:val="24"/>
                <w:szCs w:val="24"/>
              </w:rPr>
              <w:t>public</w:t>
            </w:r>
            <w:r>
              <w:rPr>
                <w:rFonts w:cs="Calibri"/>
                <w:sz w:val="24"/>
                <w:szCs w:val="24"/>
              </w:rPr>
              <w:t xml:space="preserve"> spaces will be incorporated within the detailed design of the Scheme. This will include appropriate lighting </w:t>
            </w:r>
            <w:r w:rsidR="004005E1">
              <w:rPr>
                <w:rFonts w:cs="Calibri"/>
                <w:sz w:val="24"/>
                <w:szCs w:val="24"/>
              </w:rPr>
              <w:t>and reducing the potential for secluded areas within the urban landscape.</w:t>
            </w:r>
            <w:r w:rsidR="004720D9">
              <w:rPr>
                <w:rFonts w:cs="Calibri"/>
                <w:sz w:val="24"/>
                <w:szCs w:val="24"/>
              </w:rPr>
              <w:t xml:space="preserve"> </w:t>
            </w:r>
            <w:r w:rsidR="00F1687D">
              <w:rPr>
                <w:rFonts w:cs="Calibri"/>
                <w:sz w:val="24"/>
                <w:szCs w:val="24"/>
              </w:rPr>
              <w:t xml:space="preserve">The design will include the provision of ramps, steps, seating and amenity spaces, which will assist those who are pregnant and/or parents with small children. </w:t>
            </w:r>
            <w:r w:rsidR="004720D9">
              <w:rPr>
                <w:rFonts w:cs="Calibri"/>
                <w:sz w:val="24"/>
                <w:szCs w:val="24"/>
              </w:rPr>
              <w:t>Consultation has taken place over a number of years, including in person events and objector meetings to allow the public to feed in any issues</w:t>
            </w:r>
            <w:r w:rsidR="00F1687D">
              <w:rPr>
                <w:rFonts w:cs="Calibri"/>
                <w:sz w:val="24"/>
                <w:szCs w:val="24"/>
              </w:rPr>
              <w:t>.</w:t>
            </w:r>
          </w:p>
        </w:tc>
      </w:tr>
      <w:tr w:rsidR="006C5FF0" w:rsidRPr="00E52557" w14:paraId="60FFCF9E" w14:textId="77777777" w:rsidTr="001F0D2C">
        <w:trPr>
          <w:trHeight w:val="883"/>
        </w:trPr>
        <w:tc>
          <w:tcPr>
            <w:tcW w:w="4458" w:type="dxa"/>
          </w:tcPr>
          <w:p w14:paraId="2F70E13D" w14:textId="77777777" w:rsidR="006C5FF0" w:rsidRPr="00E52557" w:rsidRDefault="006C5FF0" w:rsidP="006C5FF0">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6C5FF0" w:rsidRPr="00E52557" w:rsidRDefault="006C5FF0" w:rsidP="006C5FF0">
            <w:pPr>
              <w:pStyle w:val="ListParagraph"/>
              <w:ind w:left="0"/>
              <w:rPr>
                <w:rFonts w:cs="Calibri"/>
                <w:b/>
                <w:sz w:val="24"/>
                <w:szCs w:val="24"/>
              </w:rPr>
            </w:pPr>
          </w:p>
        </w:tc>
        <w:tc>
          <w:tcPr>
            <w:tcW w:w="4592" w:type="dxa"/>
          </w:tcPr>
          <w:p w14:paraId="28DDD34C" w14:textId="39DC1CCA" w:rsidR="006C5FF0" w:rsidRPr="00E52557" w:rsidRDefault="006C5FF0" w:rsidP="006C5FF0">
            <w:pPr>
              <w:pStyle w:val="ListParagraph"/>
              <w:ind w:left="0"/>
              <w:rPr>
                <w:rFonts w:cs="Calibri"/>
                <w:sz w:val="24"/>
                <w:szCs w:val="24"/>
              </w:rPr>
            </w:pPr>
            <w:r>
              <w:rPr>
                <w:rFonts w:cs="Calibri"/>
                <w:sz w:val="24"/>
                <w:szCs w:val="24"/>
              </w:rPr>
              <w:t>Accessibility measures will be incorporated within the detailed design of the Scheme such that they are suitable for all users in accordance with relevant design standards. This will include the provision of ramps, steps, seating and amenity spaces.</w:t>
            </w:r>
            <w:r w:rsidR="00F1687D">
              <w:rPr>
                <w:rFonts w:cs="Calibri"/>
                <w:sz w:val="24"/>
                <w:szCs w:val="24"/>
              </w:rPr>
              <w:t xml:space="preserve"> Consultation has taken place over a number of years, including in person events and objector meetings to allow the public to feed in any issues with regards to disability.</w:t>
            </w:r>
          </w:p>
        </w:tc>
      </w:tr>
      <w:tr w:rsidR="006C5FF0" w:rsidRPr="00E52557" w14:paraId="235E3501" w14:textId="77777777" w:rsidTr="001F0D2C">
        <w:trPr>
          <w:trHeight w:val="883"/>
        </w:trPr>
        <w:tc>
          <w:tcPr>
            <w:tcW w:w="4458" w:type="dxa"/>
          </w:tcPr>
          <w:p w14:paraId="50CCC567" w14:textId="453C745B" w:rsidR="006C5FF0" w:rsidRPr="00E52557" w:rsidRDefault="006C5FF0" w:rsidP="006C5FF0">
            <w:pPr>
              <w:spacing w:after="0" w:line="240" w:lineRule="auto"/>
              <w:rPr>
                <w:rFonts w:cs="Calibri"/>
                <w:sz w:val="24"/>
                <w:szCs w:val="24"/>
              </w:rPr>
            </w:pPr>
            <w:r w:rsidRPr="00E52557">
              <w:rPr>
                <w:rFonts w:cs="Calibri"/>
                <w:sz w:val="24"/>
                <w:szCs w:val="24"/>
              </w:rPr>
              <w:lastRenderedPageBreak/>
              <w:t>Minority ethnic people (includes Gypsy/Travellers, migrant workers)</w:t>
            </w:r>
          </w:p>
          <w:p w14:paraId="5ABDD490" w14:textId="77777777" w:rsidR="006C5FF0" w:rsidRPr="00E52557" w:rsidRDefault="006C5FF0" w:rsidP="006C5FF0">
            <w:pPr>
              <w:pStyle w:val="ListParagraph"/>
              <w:ind w:left="0"/>
              <w:rPr>
                <w:rFonts w:cs="Calibri"/>
                <w:b/>
                <w:sz w:val="24"/>
                <w:szCs w:val="24"/>
              </w:rPr>
            </w:pPr>
          </w:p>
        </w:tc>
        <w:tc>
          <w:tcPr>
            <w:tcW w:w="4592" w:type="dxa"/>
          </w:tcPr>
          <w:p w14:paraId="3F90717A" w14:textId="589AD246"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3BD6CCD3" w14:textId="77777777" w:rsidTr="001F0D2C">
        <w:trPr>
          <w:trHeight w:val="883"/>
        </w:trPr>
        <w:tc>
          <w:tcPr>
            <w:tcW w:w="4458" w:type="dxa"/>
          </w:tcPr>
          <w:p w14:paraId="70243F7A" w14:textId="77777777" w:rsidR="006C5FF0" w:rsidRPr="00E52557" w:rsidRDefault="006C5FF0" w:rsidP="006C5FF0">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6C5FF0" w:rsidRPr="00E52557" w:rsidRDefault="006C5FF0" w:rsidP="006C5FF0">
            <w:pPr>
              <w:pStyle w:val="ListParagraph"/>
              <w:ind w:left="0"/>
              <w:rPr>
                <w:rFonts w:cs="Calibri"/>
                <w:b/>
                <w:sz w:val="24"/>
                <w:szCs w:val="24"/>
              </w:rPr>
            </w:pPr>
          </w:p>
        </w:tc>
        <w:tc>
          <w:tcPr>
            <w:tcW w:w="4592" w:type="dxa"/>
          </w:tcPr>
          <w:p w14:paraId="67E79F4A" w14:textId="340F7629"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35064C59" w14:textId="77777777" w:rsidTr="001F0D2C">
        <w:trPr>
          <w:trHeight w:val="883"/>
        </w:trPr>
        <w:tc>
          <w:tcPr>
            <w:tcW w:w="4458" w:type="dxa"/>
          </w:tcPr>
          <w:p w14:paraId="3A7C868E" w14:textId="77777777" w:rsidR="006C5FF0" w:rsidRPr="00E52557" w:rsidRDefault="006C5FF0" w:rsidP="006C5FF0">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6C5FF0" w:rsidRPr="00E52557" w:rsidRDefault="006C5FF0" w:rsidP="006C5FF0">
            <w:pPr>
              <w:pStyle w:val="ListParagraph"/>
              <w:ind w:left="0"/>
              <w:rPr>
                <w:rFonts w:cs="Calibri"/>
                <w:b/>
                <w:sz w:val="24"/>
                <w:szCs w:val="24"/>
              </w:rPr>
            </w:pPr>
          </w:p>
        </w:tc>
        <w:tc>
          <w:tcPr>
            <w:tcW w:w="4592" w:type="dxa"/>
          </w:tcPr>
          <w:p w14:paraId="5C1F3A24" w14:textId="2A1D7F2A"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7B979A0B" w14:textId="77777777" w:rsidTr="001F0D2C">
        <w:trPr>
          <w:trHeight w:val="883"/>
        </w:trPr>
        <w:tc>
          <w:tcPr>
            <w:tcW w:w="4458" w:type="dxa"/>
          </w:tcPr>
          <w:p w14:paraId="4DABC0EE" w14:textId="77777777" w:rsidR="006C5FF0" w:rsidRPr="00E52557" w:rsidRDefault="006C5FF0" w:rsidP="006C5FF0">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6C5FF0" w:rsidRPr="00E52557" w:rsidRDefault="006C5FF0" w:rsidP="006C5FF0">
            <w:pPr>
              <w:pStyle w:val="ListParagraph"/>
              <w:ind w:left="0"/>
              <w:rPr>
                <w:rFonts w:cs="Calibri"/>
                <w:b/>
                <w:sz w:val="24"/>
                <w:szCs w:val="24"/>
              </w:rPr>
            </w:pPr>
          </w:p>
        </w:tc>
        <w:tc>
          <w:tcPr>
            <w:tcW w:w="4592" w:type="dxa"/>
          </w:tcPr>
          <w:p w14:paraId="3B064BD2" w14:textId="449BBC2B"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5C34013F" w14:textId="77777777" w:rsidTr="001F0D2C">
        <w:trPr>
          <w:trHeight w:val="883"/>
        </w:trPr>
        <w:tc>
          <w:tcPr>
            <w:tcW w:w="4458" w:type="dxa"/>
          </w:tcPr>
          <w:p w14:paraId="01FD8146" w14:textId="77777777" w:rsidR="006C5FF0" w:rsidRPr="00E52557" w:rsidRDefault="006C5FF0" w:rsidP="006C5FF0">
            <w:pPr>
              <w:pStyle w:val="ListParagraph"/>
              <w:ind w:left="0"/>
              <w:rPr>
                <w:rFonts w:cs="Calibri"/>
                <w:b/>
                <w:sz w:val="24"/>
                <w:szCs w:val="24"/>
              </w:rPr>
            </w:pPr>
            <w:r w:rsidRPr="00E52557">
              <w:rPr>
                <w:rFonts w:cs="Calibri"/>
                <w:sz w:val="24"/>
                <w:szCs w:val="24"/>
              </w:rPr>
              <w:t>People who are unmarried, married or in a civil partnership</w:t>
            </w:r>
          </w:p>
        </w:tc>
        <w:tc>
          <w:tcPr>
            <w:tcW w:w="4592" w:type="dxa"/>
          </w:tcPr>
          <w:p w14:paraId="755515D8" w14:textId="3E8567DA"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5555B635" w14:textId="77777777" w:rsidTr="001F0D2C">
        <w:tc>
          <w:tcPr>
            <w:tcW w:w="4458" w:type="dxa"/>
          </w:tcPr>
          <w:p w14:paraId="5220AF84" w14:textId="77777777" w:rsidR="006C5FF0" w:rsidRPr="00E52557" w:rsidRDefault="006C5FF0" w:rsidP="006C5FF0">
            <w:pPr>
              <w:pStyle w:val="ListParagraph"/>
              <w:ind w:left="0"/>
              <w:rPr>
                <w:rFonts w:cs="Calibri"/>
                <w:b/>
                <w:sz w:val="24"/>
                <w:szCs w:val="24"/>
              </w:rPr>
            </w:pPr>
            <w:r w:rsidRPr="00E52557">
              <w:rPr>
                <w:rFonts w:cs="Calibri"/>
                <w:b/>
                <w:sz w:val="24"/>
                <w:szCs w:val="24"/>
              </w:rPr>
              <w:t>Those vulnerable to falling into poverty</w:t>
            </w:r>
          </w:p>
          <w:p w14:paraId="4AFA4ECB" w14:textId="77777777" w:rsidR="006C5FF0" w:rsidRPr="00E52557" w:rsidRDefault="006C5FF0" w:rsidP="006C5FF0">
            <w:pPr>
              <w:pStyle w:val="ListParagraph"/>
              <w:numPr>
                <w:ilvl w:val="0"/>
                <w:numId w:val="2"/>
              </w:numPr>
              <w:rPr>
                <w:rFonts w:cs="Calibri"/>
                <w:sz w:val="24"/>
                <w:szCs w:val="24"/>
              </w:rPr>
            </w:pPr>
            <w:r w:rsidRPr="00E52557">
              <w:rPr>
                <w:rFonts w:cs="Calibri"/>
                <w:sz w:val="24"/>
                <w:szCs w:val="24"/>
              </w:rPr>
              <w:t>Unemployed</w:t>
            </w:r>
          </w:p>
          <w:p w14:paraId="7FAD948A" w14:textId="77777777" w:rsidR="006C5FF0" w:rsidRPr="00E52557" w:rsidRDefault="006C5FF0" w:rsidP="006C5FF0">
            <w:pPr>
              <w:pStyle w:val="ListParagraph"/>
              <w:numPr>
                <w:ilvl w:val="0"/>
                <w:numId w:val="2"/>
              </w:numPr>
              <w:rPr>
                <w:rFonts w:cs="Calibri"/>
                <w:sz w:val="24"/>
                <w:szCs w:val="24"/>
              </w:rPr>
            </w:pPr>
            <w:r w:rsidRPr="00E52557">
              <w:rPr>
                <w:rFonts w:cs="Calibri"/>
                <w:sz w:val="24"/>
                <w:szCs w:val="24"/>
              </w:rPr>
              <w:t>People on benefits</w:t>
            </w:r>
          </w:p>
          <w:p w14:paraId="41286752" w14:textId="77777777" w:rsidR="006C5FF0" w:rsidRPr="00E52557" w:rsidRDefault="006C5FF0" w:rsidP="006C5FF0">
            <w:pPr>
              <w:pStyle w:val="ListParagraph"/>
              <w:numPr>
                <w:ilvl w:val="0"/>
                <w:numId w:val="2"/>
              </w:numPr>
              <w:rPr>
                <w:rFonts w:cs="Calibri"/>
                <w:sz w:val="24"/>
                <w:szCs w:val="24"/>
              </w:rPr>
            </w:pPr>
            <w:r w:rsidRPr="00E52557">
              <w:rPr>
                <w:rFonts w:cs="Calibri"/>
                <w:sz w:val="24"/>
                <w:szCs w:val="24"/>
              </w:rPr>
              <w:t xml:space="preserve">Lone Parents </w:t>
            </w:r>
          </w:p>
          <w:p w14:paraId="461091ED"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Homeless people</w:t>
            </w:r>
          </w:p>
          <w:p w14:paraId="4FBE95AA"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Those involved in the community justice system</w:t>
            </w:r>
          </w:p>
          <w:p w14:paraId="5D808B60"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6C5FF0" w:rsidRPr="00E52557" w:rsidRDefault="006C5FF0" w:rsidP="006C5FF0">
            <w:pPr>
              <w:pStyle w:val="ListParagraph"/>
              <w:numPr>
                <w:ilvl w:val="0"/>
                <w:numId w:val="2"/>
              </w:numPr>
              <w:rPr>
                <w:rFonts w:cs="Calibri"/>
                <w:b/>
                <w:sz w:val="24"/>
                <w:szCs w:val="24"/>
              </w:rPr>
            </w:pPr>
            <w:r w:rsidRPr="00E52557">
              <w:rPr>
                <w:rFonts w:cs="Calibri"/>
                <w:sz w:val="24"/>
                <w:szCs w:val="24"/>
              </w:rPr>
              <w:t>Those with a child/ children under 1</w:t>
            </w:r>
          </w:p>
        </w:tc>
        <w:tc>
          <w:tcPr>
            <w:tcW w:w="4592" w:type="dxa"/>
          </w:tcPr>
          <w:p w14:paraId="3BBCCEC9" w14:textId="5F16DE3D" w:rsidR="006C5FF0" w:rsidRPr="001F0D2C" w:rsidRDefault="006C5FF0" w:rsidP="006C5FF0">
            <w:pPr>
              <w:rPr>
                <w:rFonts w:cs="Calibri"/>
                <w:sz w:val="24"/>
                <w:szCs w:val="24"/>
              </w:rPr>
            </w:pPr>
            <w:r>
              <w:rPr>
                <w:rFonts w:cs="Calibri"/>
                <w:sz w:val="24"/>
                <w:szCs w:val="24"/>
              </w:rPr>
              <w:t>The proposals are not considered to negatively impact the different needs of these groups.</w:t>
            </w:r>
          </w:p>
        </w:tc>
      </w:tr>
      <w:tr w:rsidR="006C5FF0" w:rsidRPr="00E52557" w14:paraId="07AACDC1" w14:textId="77777777" w:rsidTr="001F0D2C">
        <w:tc>
          <w:tcPr>
            <w:tcW w:w="4458" w:type="dxa"/>
          </w:tcPr>
          <w:p w14:paraId="543BEA24" w14:textId="77777777" w:rsidR="006C5FF0" w:rsidRPr="00E52557" w:rsidRDefault="006C5FF0" w:rsidP="006C5FF0">
            <w:pPr>
              <w:pStyle w:val="ListParagraph"/>
              <w:ind w:left="0"/>
              <w:rPr>
                <w:rFonts w:cs="Calibri"/>
                <w:b/>
                <w:sz w:val="24"/>
                <w:szCs w:val="24"/>
              </w:rPr>
            </w:pPr>
            <w:r w:rsidRPr="00E52557">
              <w:rPr>
                <w:rFonts w:cs="Calibri"/>
                <w:b/>
                <w:sz w:val="24"/>
                <w:szCs w:val="24"/>
              </w:rPr>
              <w:t>Geographical communities</w:t>
            </w:r>
          </w:p>
          <w:p w14:paraId="19924D95" w14:textId="20990B9C" w:rsidR="006C5FF0" w:rsidRPr="00E52557" w:rsidRDefault="006C5FF0" w:rsidP="006C5FF0">
            <w:pPr>
              <w:pStyle w:val="ListParagraph"/>
              <w:numPr>
                <w:ilvl w:val="0"/>
                <w:numId w:val="3"/>
              </w:numPr>
              <w:rPr>
                <w:rFonts w:cs="Calibri"/>
                <w:sz w:val="24"/>
                <w:szCs w:val="24"/>
              </w:rPr>
            </w:pPr>
            <w:r w:rsidRPr="00E52557">
              <w:rPr>
                <w:rFonts w:cs="Calibri"/>
                <w:sz w:val="24"/>
                <w:szCs w:val="24"/>
              </w:rPr>
              <w:t xml:space="preserve">Rural/ </w:t>
            </w:r>
            <w:r w:rsidR="00D667A7" w:rsidRPr="00E52557">
              <w:rPr>
                <w:rFonts w:cs="Calibri"/>
                <w:sz w:val="24"/>
                <w:szCs w:val="24"/>
              </w:rPr>
              <w:t>semi-rural</w:t>
            </w:r>
            <w:r w:rsidRPr="00E52557">
              <w:rPr>
                <w:rFonts w:cs="Calibri"/>
                <w:sz w:val="24"/>
                <w:szCs w:val="24"/>
              </w:rPr>
              <w:t xml:space="preserve"> communities</w:t>
            </w:r>
          </w:p>
          <w:p w14:paraId="1CB71330" w14:textId="77777777" w:rsidR="006C5FF0" w:rsidRPr="00E52557" w:rsidRDefault="006C5FF0" w:rsidP="006C5FF0">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6C5FF0" w:rsidRPr="00E52557" w:rsidRDefault="006C5FF0" w:rsidP="006C5FF0">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C5FF0" w:rsidRPr="00E52557" w:rsidRDefault="006C5FF0" w:rsidP="006C5FF0">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592" w:type="dxa"/>
          </w:tcPr>
          <w:p w14:paraId="53E808EA" w14:textId="62B1FC33"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r w:rsidR="006C5FF0" w:rsidRPr="00E52557" w14:paraId="6F60412D" w14:textId="77777777" w:rsidTr="001F0D2C">
        <w:tc>
          <w:tcPr>
            <w:tcW w:w="4458" w:type="dxa"/>
          </w:tcPr>
          <w:p w14:paraId="3EA4294C" w14:textId="77777777" w:rsidR="006C5FF0" w:rsidRPr="00E52557" w:rsidRDefault="006C5FF0" w:rsidP="006C5FF0">
            <w:pPr>
              <w:pStyle w:val="ListParagraph"/>
              <w:ind w:left="0"/>
              <w:rPr>
                <w:rFonts w:cs="Calibri"/>
                <w:b/>
                <w:sz w:val="24"/>
                <w:szCs w:val="24"/>
              </w:rPr>
            </w:pPr>
            <w:r>
              <w:rPr>
                <w:rFonts w:cs="Calibri"/>
                <w:b/>
                <w:sz w:val="24"/>
                <w:szCs w:val="24"/>
              </w:rPr>
              <w:lastRenderedPageBreak/>
              <w:t>People with communication n</w:t>
            </w:r>
            <w:r w:rsidRPr="00E52557">
              <w:rPr>
                <w:rFonts w:cs="Calibri"/>
                <w:b/>
                <w:sz w:val="24"/>
                <w:szCs w:val="24"/>
              </w:rPr>
              <w:t>eeds:</w:t>
            </w:r>
          </w:p>
          <w:p w14:paraId="3AD12DB0" w14:textId="77777777" w:rsidR="006C5FF0" w:rsidRPr="00E52557" w:rsidRDefault="006C5FF0" w:rsidP="006C5FF0">
            <w:pPr>
              <w:pStyle w:val="ListParagraph"/>
              <w:numPr>
                <w:ilvl w:val="0"/>
                <w:numId w:val="10"/>
              </w:numPr>
              <w:rPr>
                <w:rFonts w:cs="Calibri"/>
                <w:sz w:val="24"/>
                <w:szCs w:val="24"/>
              </w:rPr>
            </w:pPr>
            <w:r w:rsidRPr="00E52557">
              <w:rPr>
                <w:rFonts w:cs="Calibri"/>
                <w:sz w:val="24"/>
                <w:szCs w:val="24"/>
              </w:rPr>
              <w:t>Gaelic Language Speakers</w:t>
            </w:r>
            <w:r>
              <w:rPr>
                <w:rFonts w:cs="Calibri"/>
                <w:sz w:val="24"/>
                <w:szCs w:val="24"/>
              </w:rPr>
              <w:t xml:space="preserve"> {refer if necessary to the Council’s Gaelic Language Plan}</w:t>
            </w:r>
          </w:p>
          <w:p w14:paraId="05D2940E" w14:textId="77777777" w:rsidR="006C5FF0" w:rsidRPr="00E52557" w:rsidRDefault="006C5FF0" w:rsidP="006C5FF0">
            <w:pPr>
              <w:pStyle w:val="ListParagraph"/>
              <w:numPr>
                <w:ilvl w:val="0"/>
                <w:numId w:val="10"/>
              </w:numPr>
              <w:rPr>
                <w:rFonts w:cs="Calibri"/>
                <w:sz w:val="24"/>
                <w:szCs w:val="24"/>
              </w:rPr>
            </w:pPr>
            <w:r w:rsidRPr="00E52557">
              <w:rPr>
                <w:rFonts w:cs="Calibri"/>
                <w:sz w:val="24"/>
                <w:szCs w:val="24"/>
              </w:rPr>
              <w:t>B</w:t>
            </w:r>
            <w:r>
              <w:rPr>
                <w:rFonts w:cs="Calibri"/>
                <w:sz w:val="24"/>
                <w:szCs w:val="24"/>
              </w:rPr>
              <w:t>ritish Sign Language (B</w:t>
            </w:r>
            <w:r w:rsidRPr="00E52557">
              <w:rPr>
                <w:rFonts w:cs="Calibri"/>
                <w:sz w:val="24"/>
                <w:szCs w:val="24"/>
              </w:rPr>
              <w:t>SL</w:t>
            </w:r>
            <w:r>
              <w:rPr>
                <w:rFonts w:cs="Calibri"/>
                <w:sz w:val="24"/>
                <w:szCs w:val="24"/>
              </w:rPr>
              <w:t>)</w:t>
            </w:r>
            <w:r w:rsidRPr="00E52557">
              <w:rPr>
                <w:rFonts w:cs="Calibri"/>
                <w:sz w:val="24"/>
                <w:szCs w:val="24"/>
              </w:rPr>
              <w:t xml:space="preserve"> users</w:t>
            </w:r>
            <w:r>
              <w:rPr>
                <w:rFonts w:cs="Calibri"/>
                <w:sz w:val="24"/>
                <w:szCs w:val="24"/>
              </w:rPr>
              <w:t xml:space="preserve"> {refer if necessary to the Council’s BSL Plan}</w:t>
            </w:r>
          </w:p>
          <w:p w14:paraId="7A868BC3" w14:textId="77777777" w:rsidR="006C5FF0" w:rsidRPr="00E52557" w:rsidRDefault="006C5FF0" w:rsidP="006C5FF0">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6C5FF0" w:rsidRPr="00E52557" w:rsidRDefault="006C5FF0" w:rsidP="006C5FF0">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592" w:type="dxa"/>
          </w:tcPr>
          <w:p w14:paraId="7C0BE515" w14:textId="3241ADF5" w:rsidR="006C5FF0" w:rsidRPr="00E52557" w:rsidRDefault="006C5FF0" w:rsidP="006C5FF0">
            <w:pPr>
              <w:pStyle w:val="ListParagraph"/>
              <w:ind w:left="0"/>
              <w:rPr>
                <w:rFonts w:cs="Calibri"/>
                <w:sz w:val="24"/>
                <w:szCs w:val="24"/>
              </w:rPr>
            </w:pPr>
            <w:r>
              <w:rPr>
                <w:rFonts w:cs="Calibri"/>
                <w:sz w:val="24"/>
                <w:szCs w:val="24"/>
              </w:rPr>
              <w:t>The proposals are not considered to negatively impact the different needs of these groups.</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51D80264" w14:textId="620A68FA" w:rsidR="00265017" w:rsidRPr="00265017" w:rsidRDefault="00265017" w:rsidP="00265017">
      <w:pPr>
        <w:pStyle w:val="ListParagraph"/>
        <w:ind w:left="360"/>
        <w:rPr>
          <w:rFonts w:cs="Calibri"/>
          <w:bCs/>
          <w:sz w:val="24"/>
          <w:szCs w:val="24"/>
        </w:rPr>
      </w:pPr>
      <w:r w:rsidRPr="00265017">
        <w:rPr>
          <w:rFonts w:cs="Calibri"/>
          <w:bCs/>
          <w:sz w:val="24"/>
          <w:szCs w:val="24"/>
        </w:rPr>
        <w:t>No</w:t>
      </w:r>
    </w:p>
    <w:p w14:paraId="0756CE41" w14:textId="77777777" w:rsidR="002D24D8" w:rsidRPr="00E52557" w:rsidRDefault="002D24D8" w:rsidP="002D24D8">
      <w:pPr>
        <w:pStyle w:val="ListParagraph"/>
        <w:ind w:left="0"/>
        <w:rPr>
          <w:rFonts w:cs="Calibri"/>
          <w:b/>
          <w:sz w:val="24"/>
          <w:szCs w:val="24"/>
        </w:rPr>
      </w:pP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052ACDB6" w14:textId="77777777" w:rsidR="00265017" w:rsidRDefault="002D24D8" w:rsidP="0026501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63B0CAE" w14:textId="4C493B90" w:rsidR="00265017" w:rsidRPr="00265017" w:rsidRDefault="00265017" w:rsidP="00265017">
      <w:pPr>
        <w:pStyle w:val="ListParagraph"/>
        <w:ind w:left="360"/>
        <w:rPr>
          <w:rFonts w:cs="Calibri"/>
          <w:bCs/>
          <w:sz w:val="24"/>
          <w:szCs w:val="24"/>
        </w:rPr>
      </w:pPr>
      <w:r w:rsidRPr="00265017">
        <w:rPr>
          <w:rFonts w:cs="Calibri"/>
          <w:bCs/>
          <w:sz w:val="24"/>
          <w:szCs w:val="24"/>
        </w:rPr>
        <w:t xml:space="preserve">The Scheme </w:t>
      </w:r>
      <w:r>
        <w:rPr>
          <w:rFonts w:cs="Calibri"/>
          <w:bCs/>
          <w:sz w:val="24"/>
          <w:szCs w:val="24"/>
        </w:rPr>
        <w:t>is being</w:t>
      </w:r>
      <w:r w:rsidRPr="00265017">
        <w:rPr>
          <w:rFonts w:cs="Calibri"/>
          <w:bCs/>
          <w:sz w:val="24"/>
          <w:szCs w:val="24"/>
        </w:rPr>
        <w:t xml:space="preserve"> designed by consultants and </w:t>
      </w:r>
      <w:r>
        <w:rPr>
          <w:rFonts w:cs="Calibri"/>
          <w:bCs/>
          <w:sz w:val="24"/>
          <w:szCs w:val="24"/>
        </w:rPr>
        <w:t xml:space="preserve">will be </w:t>
      </w:r>
      <w:r w:rsidRPr="00265017">
        <w:rPr>
          <w:rFonts w:cs="Calibri"/>
          <w:bCs/>
          <w:sz w:val="24"/>
          <w:szCs w:val="24"/>
        </w:rPr>
        <w:t xml:space="preserve">constructed by contractors. Elements of the Scheme </w:t>
      </w:r>
      <w:r>
        <w:rPr>
          <w:rFonts w:cs="Calibri"/>
          <w:bCs/>
          <w:sz w:val="24"/>
          <w:szCs w:val="24"/>
        </w:rPr>
        <w:t>could potentially</w:t>
      </w:r>
      <w:r w:rsidRPr="00265017">
        <w:rPr>
          <w:rFonts w:cs="Calibri"/>
          <w:bCs/>
          <w:sz w:val="24"/>
          <w:szCs w:val="24"/>
        </w:rPr>
        <w:t xml:space="preserve"> be operated and/or maintained by contractors.</w:t>
      </w:r>
      <w:r>
        <w:rPr>
          <w:rFonts w:cs="Calibri"/>
          <w:bCs/>
          <w:sz w:val="24"/>
          <w:szCs w:val="24"/>
        </w:rPr>
        <w:t xml:space="preserve"> Equality and human rights considerations will be incorporated into the relevant contracts at the appropriate time.</w:t>
      </w: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B1D594C" w14:textId="5C789072" w:rsidR="00DA46F8" w:rsidRPr="001F0D2C" w:rsidRDefault="001F0D2C" w:rsidP="001F0D2C">
      <w:pPr>
        <w:pStyle w:val="ListParagraph"/>
        <w:ind w:left="360"/>
        <w:rPr>
          <w:rFonts w:cs="Calibri"/>
          <w:bCs/>
          <w:sz w:val="24"/>
          <w:szCs w:val="24"/>
        </w:rPr>
      </w:pPr>
      <w:r w:rsidRPr="001F0D2C">
        <w:rPr>
          <w:rFonts w:cs="Calibri"/>
          <w:bCs/>
          <w:sz w:val="24"/>
          <w:szCs w:val="24"/>
        </w:rPr>
        <w:t>The proposals are described in written format on the Scheme’s website and in hard copy at the council’s offices. Documents can be translated into other languages upon request.</w:t>
      </w:r>
      <w:r w:rsidR="00F1687D">
        <w:rPr>
          <w:rFonts w:cs="Calibri"/>
          <w:bCs/>
          <w:sz w:val="24"/>
          <w:szCs w:val="24"/>
        </w:rPr>
        <w:t xml:space="preserve"> For documents within the Council’s web pages, the “</w:t>
      </w:r>
      <w:proofErr w:type="spellStart"/>
      <w:r w:rsidR="00F1687D">
        <w:rPr>
          <w:rFonts w:cs="Calibri"/>
          <w:bCs/>
          <w:sz w:val="24"/>
          <w:szCs w:val="24"/>
        </w:rPr>
        <w:t>ReciteMe</w:t>
      </w:r>
      <w:proofErr w:type="spellEnd"/>
      <w:r w:rsidR="00F1687D">
        <w:rPr>
          <w:rFonts w:cs="Calibri"/>
          <w:bCs/>
          <w:sz w:val="24"/>
          <w:szCs w:val="24"/>
        </w:rPr>
        <w:t>” tool can speak text via a computer, which can also translate languages.</w:t>
      </w: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lastRenderedPageBreak/>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701121E1"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community capacity</w:t>
            </w:r>
          </w:p>
        </w:tc>
      </w:tr>
      <w:tr w:rsidR="009D17FB" w:rsidRPr="00E52557" w14:paraId="01B995F5" w14:textId="77777777" w:rsidTr="003D6C30">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lastRenderedPageBreak/>
              <w:t>Comments:</w:t>
            </w:r>
          </w:p>
          <w:p w14:paraId="08A7B894" w14:textId="775E8C8B" w:rsidR="002D1F64" w:rsidRDefault="002D1F64" w:rsidP="004300C6">
            <w:pPr>
              <w:rPr>
                <w:rFonts w:cs="Calibri"/>
              </w:rPr>
            </w:pPr>
            <w:r>
              <w:rPr>
                <w:rFonts w:cs="Calibri"/>
              </w:rPr>
              <w:t>Reducing Musselburgh’s flood risk is anticipated to:</w:t>
            </w:r>
          </w:p>
          <w:p w14:paraId="0D512564" w14:textId="152EE5CB" w:rsidR="002D1F64" w:rsidRDefault="00B44C13" w:rsidP="002D1F64">
            <w:pPr>
              <w:pStyle w:val="ListParagraph"/>
              <w:numPr>
                <w:ilvl w:val="0"/>
                <w:numId w:val="15"/>
              </w:numPr>
              <w:rPr>
                <w:rFonts w:cs="Calibri"/>
              </w:rPr>
            </w:pPr>
            <w:r>
              <w:rPr>
                <w:rFonts w:cs="Calibri"/>
              </w:rPr>
              <w:t>Support</w:t>
            </w:r>
            <w:r w:rsidR="002D1F64">
              <w:rPr>
                <w:rFonts w:cs="Calibri"/>
              </w:rPr>
              <w:t xml:space="preserve"> growth and investment in the local community and town centre</w:t>
            </w:r>
          </w:p>
          <w:p w14:paraId="20EE013D" w14:textId="06FE2BFC" w:rsidR="009D17FB" w:rsidRDefault="002D1F64" w:rsidP="004300C6">
            <w:pPr>
              <w:pStyle w:val="ListParagraph"/>
              <w:numPr>
                <w:ilvl w:val="0"/>
                <w:numId w:val="15"/>
              </w:numPr>
              <w:rPr>
                <w:rFonts w:cs="Calibri"/>
              </w:rPr>
            </w:pPr>
            <w:r>
              <w:rPr>
                <w:rFonts w:cs="Calibri"/>
              </w:rPr>
              <w:t>Promote accessibility of amenity spaces</w:t>
            </w:r>
          </w:p>
          <w:p w14:paraId="52541EA2" w14:textId="7A823C79" w:rsidR="00F1687D" w:rsidRDefault="00F1687D" w:rsidP="00F1687D">
            <w:pPr>
              <w:pStyle w:val="ListParagraph"/>
              <w:numPr>
                <w:ilvl w:val="0"/>
                <w:numId w:val="15"/>
              </w:numPr>
              <w:rPr>
                <w:rFonts w:cs="Calibri"/>
              </w:rPr>
            </w:pPr>
            <w:r>
              <w:rPr>
                <w:rFonts w:cs="Calibri"/>
              </w:rPr>
              <w:t>I</w:t>
            </w:r>
            <w:r w:rsidRPr="002D1F64">
              <w:rPr>
                <w:rFonts w:cs="Calibri"/>
              </w:rPr>
              <w:t>ncrease access to affordable home insuranc</w:t>
            </w:r>
            <w:r>
              <w:rPr>
                <w:rFonts w:cs="Calibri"/>
              </w:rPr>
              <w:t>e</w:t>
            </w:r>
          </w:p>
          <w:p w14:paraId="65B23C20" w14:textId="39B9CE7C" w:rsidR="009D17FB" w:rsidRPr="00E52557" w:rsidRDefault="00F1687D" w:rsidP="00F1687D">
            <w:pPr>
              <w:pStyle w:val="ListParagraph"/>
              <w:numPr>
                <w:ilvl w:val="0"/>
                <w:numId w:val="15"/>
              </w:numPr>
              <w:rPr>
                <w:rFonts w:cs="Calibri"/>
              </w:rPr>
            </w:pPr>
            <w:r>
              <w:rPr>
                <w:rFonts w:cs="Calibri"/>
              </w:rPr>
              <w:t>Have a positive impact on property values</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27F60369"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5C4D9911" w:rsidR="00842BF1" w:rsidRPr="00E52557" w:rsidRDefault="00B94AE8" w:rsidP="0004423B">
            <w:pPr>
              <w:rPr>
                <w:rFonts w:cs="Calibri"/>
              </w:rPr>
            </w:pPr>
            <w:r w:rsidRPr="00E52557">
              <w:rPr>
                <w:rFonts w:cs="Calibri"/>
              </w:rPr>
              <w:t>Comments:</w:t>
            </w:r>
          </w:p>
          <w:p w14:paraId="21D5CB3C" w14:textId="5ABD481A" w:rsidR="00370EA1" w:rsidRDefault="002D1F64" w:rsidP="0004423B">
            <w:pPr>
              <w:rPr>
                <w:rFonts w:cs="Calibri"/>
              </w:rPr>
            </w:pPr>
            <w:r>
              <w:rPr>
                <w:rFonts w:cs="Calibri"/>
              </w:rPr>
              <w:t>Construction of the Scheme, and the corresponding reduction in flood risk is anticipated to:</w:t>
            </w:r>
          </w:p>
          <w:p w14:paraId="187C4D63" w14:textId="73B18FA0" w:rsidR="00B44C13" w:rsidRDefault="00B44C13" w:rsidP="002D1F64">
            <w:pPr>
              <w:pStyle w:val="ListParagraph"/>
              <w:numPr>
                <w:ilvl w:val="0"/>
                <w:numId w:val="15"/>
              </w:numPr>
              <w:rPr>
                <w:rFonts w:cs="Calibri"/>
              </w:rPr>
            </w:pPr>
            <w:r>
              <w:rPr>
                <w:rFonts w:cs="Calibri"/>
              </w:rPr>
              <w:t>Provide job opportunities during the construction phase</w:t>
            </w:r>
          </w:p>
          <w:p w14:paraId="3A91E19C" w14:textId="0644CD15" w:rsidR="002D1F64" w:rsidRDefault="002D1F64" w:rsidP="002D1F64">
            <w:pPr>
              <w:pStyle w:val="ListParagraph"/>
              <w:numPr>
                <w:ilvl w:val="0"/>
                <w:numId w:val="15"/>
              </w:numPr>
              <w:rPr>
                <w:rFonts w:cs="Calibri"/>
              </w:rPr>
            </w:pPr>
            <w:r>
              <w:rPr>
                <w:rFonts w:cs="Calibri"/>
              </w:rPr>
              <w:t>I</w:t>
            </w:r>
            <w:r w:rsidRPr="002D1F64">
              <w:rPr>
                <w:rFonts w:cs="Calibri"/>
              </w:rPr>
              <w:t>ncrease access to affordable home insurance</w:t>
            </w:r>
          </w:p>
          <w:p w14:paraId="0954C50D" w14:textId="77777777" w:rsidR="002D1F64" w:rsidRDefault="002D1F64" w:rsidP="002D1F64">
            <w:pPr>
              <w:pStyle w:val="ListParagraph"/>
              <w:numPr>
                <w:ilvl w:val="0"/>
                <w:numId w:val="15"/>
              </w:numPr>
              <w:rPr>
                <w:rFonts w:cs="Calibri"/>
              </w:rPr>
            </w:pPr>
            <w:r>
              <w:rPr>
                <w:rFonts w:cs="Calibri"/>
              </w:rPr>
              <w:t>Have a positive impact on property values</w:t>
            </w:r>
          </w:p>
          <w:p w14:paraId="0C15E443" w14:textId="7871B7DB" w:rsidR="00370EA1" w:rsidRPr="00B44C13" w:rsidRDefault="002D1F64" w:rsidP="0004423B">
            <w:pPr>
              <w:pStyle w:val="ListParagraph"/>
              <w:numPr>
                <w:ilvl w:val="0"/>
                <w:numId w:val="15"/>
              </w:numPr>
              <w:rPr>
                <w:rFonts w:cs="Calibri"/>
              </w:rPr>
            </w:pPr>
            <w:r w:rsidRPr="002D1F64">
              <w:rPr>
                <w:rFonts w:cs="Calibri"/>
              </w:rPr>
              <w:t>Promote growth and investment in the local community and town centre</w:t>
            </w:r>
          </w:p>
          <w:p w14:paraId="3EE29616" w14:textId="77777777" w:rsidR="00370EA1" w:rsidRPr="00E52557" w:rsidRDefault="00370EA1" w:rsidP="0004423B">
            <w:pPr>
              <w:rPr>
                <w:rFonts w:cs="Calibri"/>
              </w:rPr>
            </w:pP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lastRenderedPageBreak/>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lastRenderedPageBreak/>
              <w:t>Comments:</w:t>
            </w:r>
          </w:p>
          <w:p w14:paraId="4125F002" w14:textId="7B710818" w:rsidR="00DA36B0" w:rsidRDefault="00B44C13" w:rsidP="001D4C04">
            <w:pPr>
              <w:rPr>
                <w:rFonts w:cs="Calibri"/>
              </w:rPr>
            </w:pPr>
            <w:r>
              <w:rPr>
                <w:rFonts w:cs="Calibri"/>
              </w:rPr>
              <w:t>The Scheme will adapt the community to become more resistant and resilient to climate-change</w:t>
            </w:r>
            <w:r w:rsidR="00050089">
              <w:rPr>
                <w:rFonts w:cs="Calibri"/>
              </w:rPr>
              <w:t xml:space="preserve"> </w:t>
            </w:r>
            <w:r>
              <w:rPr>
                <w:rFonts w:cs="Calibri"/>
              </w:rPr>
              <w:t>induced flooding. The design will provide biodiversity enhancement in accordance with NPF4, including river restoration, wetland creation and promotion of sustainable sand dune development.</w:t>
            </w:r>
          </w:p>
          <w:p w14:paraId="677540FC" w14:textId="77777777" w:rsidR="005718E8" w:rsidRPr="00E52557" w:rsidRDefault="005718E8" w:rsidP="001D4C04">
            <w:pPr>
              <w:rPr>
                <w:rFonts w:cs="Calibri"/>
              </w:rPr>
            </w:pP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7B257FED" w14:textId="1CFB19E6" w:rsidR="005718E8" w:rsidRDefault="00B44C13" w:rsidP="00FE340F">
            <w:pPr>
              <w:rPr>
                <w:rFonts w:cs="Calibri"/>
              </w:rPr>
            </w:pPr>
            <w:r>
              <w:rPr>
                <w:rFonts w:cs="Calibri"/>
              </w:rPr>
              <w:t xml:space="preserve">The Scheme is not anticipated to have any effect on </w:t>
            </w:r>
            <w:r w:rsidR="00C204B1">
              <w:rPr>
                <w:rFonts w:cs="Calibri"/>
              </w:rPr>
              <w:t xml:space="preserve">corporate parenting and </w:t>
            </w:r>
            <w:r>
              <w:rPr>
                <w:rFonts w:cs="Calibri"/>
              </w:rPr>
              <w:t>care experienced young people.</w:t>
            </w:r>
          </w:p>
          <w:p w14:paraId="68A99072" w14:textId="77777777" w:rsidR="005718E8" w:rsidRDefault="005718E8" w:rsidP="00FE340F">
            <w:pPr>
              <w:rPr>
                <w:rFonts w:cs="Calibri"/>
              </w:rPr>
            </w:pP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4F67748D" w:rsidR="002D24D8" w:rsidRPr="00E52557" w:rsidRDefault="00B44C13" w:rsidP="000D027D">
            <w:pPr>
              <w:pStyle w:val="ListParagraph"/>
              <w:ind w:left="0"/>
              <w:rPr>
                <w:rFonts w:cs="Calibri"/>
                <w:sz w:val="24"/>
                <w:szCs w:val="24"/>
              </w:rPr>
            </w:pPr>
            <w:r>
              <w:rPr>
                <w:rFonts w:cs="Calibri"/>
                <w:sz w:val="24"/>
                <w:szCs w:val="24"/>
              </w:rPr>
              <w:t>Accessibility</w:t>
            </w:r>
            <w:r w:rsidR="00C204B1">
              <w:rPr>
                <w:rFonts w:cs="Calibri"/>
                <w:sz w:val="24"/>
                <w:szCs w:val="24"/>
              </w:rPr>
              <w:t xml:space="preserve"> </w:t>
            </w:r>
          </w:p>
        </w:tc>
        <w:tc>
          <w:tcPr>
            <w:tcW w:w="3145" w:type="dxa"/>
          </w:tcPr>
          <w:p w14:paraId="6BF32DAD" w14:textId="72760483" w:rsidR="002D24D8" w:rsidRPr="00E52557" w:rsidRDefault="00C204B1" w:rsidP="004300C6">
            <w:pPr>
              <w:pStyle w:val="ListParagraph"/>
              <w:ind w:left="0"/>
              <w:rPr>
                <w:rFonts w:cs="Calibri"/>
                <w:sz w:val="24"/>
                <w:szCs w:val="24"/>
              </w:rPr>
            </w:pPr>
            <w:r>
              <w:rPr>
                <w:rFonts w:cs="Calibri"/>
                <w:sz w:val="24"/>
                <w:szCs w:val="24"/>
              </w:rPr>
              <w:t xml:space="preserve">Accessibility for protected groups such as the elderly and disabled </w:t>
            </w:r>
            <w:r w:rsidR="005B676A">
              <w:rPr>
                <w:rFonts w:cs="Calibri"/>
                <w:sz w:val="24"/>
                <w:szCs w:val="24"/>
              </w:rPr>
              <w:t xml:space="preserve">people </w:t>
            </w:r>
            <w:r>
              <w:rPr>
                <w:rFonts w:cs="Calibri"/>
                <w:sz w:val="24"/>
                <w:szCs w:val="24"/>
              </w:rPr>
              <w:t>will be incorporated within the detailed design. This will include ramp gradients, landings, path widths, frequency of seating, and choice of surfaces within amenity spaces.</w:t>
            </w:r>
          </w:p>
        </w:tc>
        <w:tc>
          <w:tcPr>
            <w:tcW w:w="1559" w:type="dxa"/>
          </w:tcPr>
          <w:p w14:paraId="6B2C4526" w14:textId="59E95ECC" w:rsidR="002D24D8" w:rsidRPr="00E52557" w:rsidRDefault="00C204B1" w:rsidP="004300C6">
            <w:pPr>
              <w:pStyle w:val="ListParagraph"/>
              <w:ind w:left="0"/>
              <w:rPr>
                <w:rFonts w:cs="Calibri"/>
                <w:sz w:val="24"/>
                <w:szCs w:val="24"/>
              </w:rPr>
            </w:pPr>
            <w:r>
              <w:rPr>
                <w:rFonts w:cs="Calibri"/>
                <w:sz w:val="24"/>
                <w:szCs w:val="24"/>
              </w:rPr>
              <w:t>Jacobs</w:t>
            </w:r>
          </w:p>
        </w:tc>
        <w:tc>
          <w:tcPr>
            <w:tcW w:w="1276" w:type="dxa"/>
          </w:tcPr>
          <w:p w14:paraId="1C65B406" w14:textId="27FBEEDD" w:rsidR="002D24D8" w:rsidRPr="00E52557" w:rsidRDefault="00C204B1" w:rsidP="001D4C04">
            <w:pPr>
              <w:pStyle w:val="ListParagraph"/>
              <w:ind w:left="0"/>
              <w:rPr>
                <w:rFonts w:cs="Calibri"/>
                <w:sz w:val="24"/>
                <w:szCs w:val="24"/>
              </w:rPr>
            </w:pPr>
            <w:r>
              <w:rPr>
                <w:rFonts w:cs="Calibri"/>
                <w:sz w:val="24"/>
                <w:szCs w:val="24"/>
              </w:rPr>
              <w:t>Detailed Design phase</w:t>
            </w:r>
          </w:p>
        </w:tc>
        <w:tc>
          <w:tcPr>
            <w:tcW w:w="1701" w:type="dxa"/>
          </w:tcPr>
          <w:p w14:paraId="04B80F58" w14:textId="73FEB16A" w:rsidR="002D24D8" w:rsidRPr="00E52557" w:rsidRDefault="00C204B1" w:rsidP="004300C6">
            <w:pPr>
              <w:pStyle w:val="ListParagraph"/>
              <w:ind w:left="0"/>
              <w:rPr>
                <w:rFonts w:cs="Calibri"/>
                <w:sz w:val="24"/>
                <w:szCs w:val="24"/>
              </w:rPr>
            </w:pPr>
            <w:r>
              <w:rPr>
                <w:rFonts w:cs="Calibri"/>
                <w:sz w:val="24"/>
                <w:szCs w:val="24"/>
              </w:rPr>
              <w:t>Jacobs</w:t>
            </w:r>
          </w:p>
        </w:tc>
      </w:tr>
      <w:tr w:rsidR="00C204B1" w:rsidRPr="00E52557" w14:paraId="72C23E09" w14:textId="77777777" w:rsidTr="009D17FB">
        <w:tc>
          <w:tcPr>
            <w:tcW w:w="1959" w:type="dxa"/>
          </w:tcPr>
          <w:p w14:paraId="11D15BFB" w14:textId="4CE73122" w:rsidR="00C204B1" w:rsidRPr="00E52557" w:rsidRDefault="00C204B1" w:rsidP="00C204B1">
            <w:pPr>
              <w:pStyle w:val="ListParagraph"/>
              <w:ind w:left="0"/>
              <w:rPr>
                <w:rFonts w:cs="Calibri"/>
                <w:sz w:val="24"/>
                <w:szCs w:val="24"/>
              </w:rPr>
            </w:pPr>
            <w:r>
              <w:rPr>
                <w:rFonts w:cs="Calibri"/>
                <w:sz w:val="24"/>
                <w:szCs w:val="24"/>
              </w:rPr>
              <w:t>Visual Impact</w:t>
            </w:r>
          </w:p>
        </w:tc>
        <w:tc>
          <w:tcPr>
            <w:tcW w:w="3145" w:type="dxa"/>
          </w:tcPr>
          <w:p w14:paraId="27C25FBC" w14:textId="3E1F2A23" w:rsidR="00C204B1" w:rsidRPr="00E52557" w:rsidRDefault="00C204B1" w:rsidP="00C204B1">
            <w:pPr>
              <w:pStyle w:val="ListParagraph"/>
              <w:ind w:left="0"/>
              <w:rPr>
                <w:rFonts w:cs="Calibri"/>
                <w:b/>
                <w:sz w:val="24"/>
                <w:szCs w:val="24"/>
              </w:rPr>
            </w:pPr>
            <w:r>
              <w:rPr>
                <w:rFonts w:cs="Calibri"/>
                <w:sz w:val="24"/>
                <w:szCs w:val="24"/>
              </w:rPr>
              <w:t>Visual impact for protected groups such as children and young people will be incorporated within the detailed design. This will include raised footpaths adjacent to defences and glass panels within flood defence walls.</w:t>
            </w:r>
          </w:p>
        </w:tc>
        <w:tc>
          <w:tcPr>
            <w:tcW w:w="1559" w:type="dxa"/>
          </w:tcPr>
          <w:p w14:paraId="66DF87EF" w14:textId="4C1F08C6" w:rsidR="00C204B1" w:rsidRPr="00E52557" w:rsidRDefault="00C204B1" w:rsidP="00C204B1">
            <w:pPr>
              <w:pStyle w:val="ListParagraph"/>
              <w:ind w:left="0"/>
              <w:rPr>
                <w:rFonts w:cs="Calibri"/>
                <w:sz w:val="24"/>
                <w:szCs w:val="24"/>
              </w:rPr>
            </w:pPr>
            <w:r>
              <w:rPr>
                <w:rFonts w:cs="Calibri"/>
                <w:sz w:val="24"/>
                <w:szCs w:val="24"/>
              </w:rPr>
              <w:t>Jacobs</w:t>
            </w:r>
          </w:p>
        </w:tc>
        <w:tc>
          <w:tcPr>
            <w:tcW w:w="1276" w:type="dxa"/>
          </w:tcPr>
          <w:p w14:paraId="286ED775" w14:textId="5DA07842" w:rsidR="00C204B1" w:rsidRPr="00E52557" w:rsidRDefault="00C204B1" w:rsidP="00C204B1">
            <w:pPr>
              <w:pStyle w:val="ListParagraph"/>
              <w:ind w:left="0"/>
              <w:rPr>
                <w:rFonts w:cs="Calibri"/>
                <w:sz w:val="24"/>
                <w:szCs w:val="24"/>
              </w:rPr>
            </w:pPr>
            <w:r>
              <w:rPr>
                <w:rFonts w:cs="Calibri"/>
                <w:sz w:val="24"/>
                <w:szCs w:val="24"/>
              </w:rPr>
              <w:t>Detailed Design phase</w:t>
            </w:r>
          </w:p>
        </w:tc>
        <w:tc>
          <w:tcPr>
            <w:tcW w:w="1701" w:type="dxa"/>
          </w:tcPr>
          <w:p w14:paraId="3F4C721B" w14:textId="70325E21" w:rsidR="00C204B1" w:rsidRPr="00E52557" w:rsidRDefault="00C204B1" w:rsidP="00C204B1">
            <w:pPr>
              <w:pStyle w:val="ListParagraph"/>
              <w:ind w:left="0"/>
              <w:rPr>
                <w:rFonts w:cs="Calibri"/>
                <w:sz w:val="24"/>
                <w:szCs w:val="24"/>
              </w:rPr>
            </w:pPr>
            <w:r>
              <w:rPr>
                <w:rFonts w:cs="Calibri"/>
                <w:sz w:val="24"/>
                <w:szCs w:val="24"/>
              </w:rPr>
              <w:t>Jacobs</w:t>
            </w:r>
          </w:p>
        </w:tc>
      </w:tr>
      <w:tr w:rsidR="004005E1" w:rsidRPr="00E52557" w14:paraId="75562286" w14:textId="77777777" w:rsidTr="009D17FB">
        <w:tc>
          <w:tcPr>
            <w:tcW w:w="1959" w:type="dxa"/>
          </w:tcPr>
          <w:p w14:paraId="20D2E35F" w14:textId="0F43856D" w:rsidR="004005E1" w:rsidRPr="00E52557" w:rsidRDefault="004005E1" w:rsidP="004005E1">
            <w:pPr>
              <w:pStyle w:val="ListParagraph"/>
              <w:ind w:left="0"/>
              <w:rPr>
                <w:rFonts w:cs="Calibri"/>
                <w:sz w:val="24"/>
                <w:szCs w:val="24"/>
              </w:rPr>
            </w:pPr>
            <w:r>
              <w:rPr>
                <w:rFonts w:cs="Calibri"/>
                <w:sz w:val="24"/>
                <w:szCs w:val="24"/>
              </w:rPr>
              <w:t>Safety</w:t>
            </w:r>
          </w:p>
        </w:tc>
        <w:tc>
          <w:tcPr>
            <w:tcW w:w="3145" w:type="dxa"/>
          </w:tcPr>
          <w:p w14:paraId="55696FFA" w14:textId="688C90D8" w:rsidR="004005E1" w:rsidRPr="004005E1" w:rsidRDefault="004005E1" w:rsidP="004005E1">
            <w:pPr>
              <w:pStyle w:val="ListParagraph"/>
              <w:ind w:left="0"/>
              <w:rPr>
                <w:rFonts w:cs="Calibri"/>
                <w:bCs/>
                <w:sz w:val="24"/>
                <w:szCs w:val="24"/>
              </w:rPr>
            </w:pPr>
            <w:r w:rsidRPr="004005E1">
              <w:rPr>
                <w:rFonts w:cs="Calibri"/>
                <w:bCs/>
                <w:sz w:val="24"/>
                <w:szCs w:val="24"/>
              </w:rPr>
              <w:t>Safety</w:t>
            </w:r>
            <w:r>
              <w:rPr>
                <w:rFonts w:cs="Calibri"/>
                <w:bCs/>
                <w:sz w:val="24"/>
                <w:szCs w:val="24"/>
              </w:rPr>
              <w:t xml:space="preserve"> of women and girls in public spaces </w:t>
            </w:r>
            <w:r>
              <w:rPr>
                <w:rFonts w:cs="Calibri"/>
                <w:sz w:val="24"/>
                <w:szCs w:val="24"/>
              </w:rPr>
              <w:t>will be incorporated within the detailed design. This will include appropriate lighting and, wherever possible, ensuring that new public spaces are overlooked and not secluded.</w:t>
            </w:r>
          </w:p>
        </w:tc>
        <w:tc>
          <w:tcPr>
            <w:tcW w:w="1559" w:type="dxa"/>
          </w:tcPr>
          <w:p w14:paraId="48F9BA10" w14:textId="3B455E7E" w:rsidR="004005E1" w:rsidRPr="00E52557" w:rsidRDefault="004005E1" w:rsidP="004005E1">
            <w:pPr>
              <w:pStyle w:val="ListParagraph"/>
              <w:ind w:left="0"/>
              <w:rPr>
                <w:rFonts w:cs="Calibri"/>
                <w:sz w:val="24"/>
                <w:szCs w:val="24"/>
              </w:rPr>
            </w:pPr>
            <w:r>
              <w:rPr>
                <w:rFonts w:cs="Calibri"/>
                <w:sz w:val="24"/>
                <w:szCs w:val="24"/>
              </w:rPr>
              <w:t>Jacobs</w:t>
            </w:r>
          </w:p>
        </w:tc>
        <w:tc>
          <w:tcPr>
            <w:tcW w:w="1276" w:type="dxa"/>
          </w:tcPr>
          <w:p w14:paraId="2F63D566" w14:textId="6F46E5BB" w:rsidR="004005E1" w:rsidRPr="00E52557" w:rsidRDefault="004005E1" w:rsidP="004005E1">
            <w:pPr>
              <w:pStyle w:val="ListParagraph"/>
              <w:ind w:left="0"/>
              <w:rPr>
                <w:rFonts w:cs="Calibri"/>
                <w:sz w:val="24"/>
                <w:szCs w:val="24"/>
              </w:rPr>
            </w:pPr>
            <w:r>
              <w:rPr>
                <w:rFonts w:cs="Calibri"/>
                <w:sz w:val="24"/>
                <w:szCs w:val="24"/>
              </w:rPr>
              <w:t>Detailed Design phase</w:t>
            </w:r>
          </w:p>
        </w:tc>
        <w:tc>
          <w:tcPr>
            <w:tcW w:w="1701" w:type="dxa"/>
          </w:tcPr>
          <w:p w14:paraId="23FE7EE0" w14:textId="0DE82E99" w:rsidR="004005E1" w:rsidRPr="00E52557" w:rsidRDefault="004005E1" w:rsidP="004005E1">
            <w:pPr>
              <w:pStyle w:val="ListParagraph"/>
              <w:ind w:left="0"/>
              <w:rPr>
                <w:rFonts w:cs="Calibri"/>
                <w:sz w:val="24"/>
                <w:szCs w:val="24"/>
              </w:rPr>
            </w:pPr>
            <w:r>
              <w:rPr>
                <w:rFonts w:cs="Calibri"/>
                <w:sz w:val="24"/>
                <w:szCs w:val="24"/>
              </w:rPr>
              <w:t>Jacobs</w:t>
            </w: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6AC176BD" w14:textId="77777777" w:rsidR="00F1687D" w:rsidRDefault="00F1687D"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lastRenderedPageBreak/>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5E10508B" w14:textId="77777777" w:rsidR="00F2430F" w:rsidRDefault="00F2430F" w:rsidP="00370EA1">
      <w:pPr>
        <w:pStyle w:val="ListParagraph"/>
        <w:ind w:left="0"/>
        <w:rPr>
          <w:rFonts w:cs="Calibri"/>
          <w:sz w:val="24"/>
          <w:szCs w:val="24"/>
        </w:rPr>
      </w:pPr>
    </w:p>
    <w:p w14:paraId="60B8A587" w14:textId="43FE65F7" w:rsidR="00F2430F" w:rsidRDefault="00F2430F" w:rsidP="00370EA1">
      <w:pPr>
        <w:pStyle w:val="ListParagraph"/>
        <w:ind w:left="0"/>
        <w:rPr>
          <w:rFonts w:cs="Calibri"/>
          <w:sz w:val="24"/>
          <w:szCs w:val="24"/>
        </w:rPr>
      </w:pPr>
      <w:r>
        <w:rPr>
          <w:rFonts w:cs="Calibri"/>
          <w:sz w:val="24"/>
          <w:szCs w:val="24"/>
        </w:rPr>
        <w:t>It should be considered that an Environmental Impact Assessment (EIA) has been undertaken for the Scheme</w:t>
      </w:r>
      <w:r w:rsidR="006F5DF1">
        <w:rPr>
          <w:rFonts w:cs="Calibri"/>
          <w:sz w:val="24"/>
          <w:szCs w:val="24"/>
        </w:rPr>
        <w:t xml:space="preserve"> and that this document fully considers the cumulative effects of the Scheme, including on equality groups and vulnerable groups.</w:t>
      </w:r>
      <w:r>
        <w:rPr>
          <w:rFonts w:cs="Calibri"/>
          <w:sz w:val="24"/>
          <w:szCs w:val="24"/>
        </w:rPr>
        <w:t xml:space="preserve"> This EIA has 17 chapters, which cover, amongst others, impacts on Population and Human Health, Noise and Vibration, Townscape, Land Contamination, Air Quality, Cultural Heritage and the Cumulative Effects of the Scheme. This EIA was published on 21 March 2024 and any person wishing to make any representation on the EIA report was able to do so by 24 April 2024. 17 pieces of correspondence were classed as EIA representations. The Project Team has undertaken meetings with those that wrote EIA representations in the period between April 2024 and September 2025, with other meetings to be arranged.</w:t>
      </w:r>
    </w:p>
    <w:p w14:paraId="13715901" w14:textId="77777777" w:rsidR="00F2430F" w:rsidRDefault="00F2430F" w:rsidP="00370EA1">
      <w:pPr>
        <w:pStyle w:val="ListParagraph"/>
        <w:ind w:left="0"/>
        <w:rPr>
          <w:rFonts w:cs="Calibri"/>
          <w:sz w:val="24"/>
          <w:szCs w:val="24"/>
        </w:rPr>
      </w:pP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7BEB23AE"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4D3ACE">
        <w:rPr>
          <w:rFonts w:cs="Calibri"/>
          <w:sz w:val="24"/>
          <w:szCs w:val="24"/>
        </w:rPr>
        <w:t xml:space="preserve"> SARAH FORTUNE – Executive Director for Council Resources </w:t>
      </w:r>
    </w:p>
    <w:p w14:paraId="2C254619" w14:textId="2CB62F85" w:rsidR="00DA36B0" w:rsidRPr="00E52557" w:rsidRDefault="004D3ACE" w:rsidP="002D24D8">
      <w:pPr>
        <w:pStyle w:val="ListParagraph"/>
        <w:ind w:left="360"/>
        <w:rPr>
          <w:rFonts w:cs="Calibri"/>
          <w:sz w:val="24"/>
          <w:szCs w:val="24"/>
        </w:rPr>
      </w:pPr>
      <w:r w:rsidRPr="000D3A06">
        <w:rPr>
          <w:noProof/>
          <w:lang w:eastAsia="en-GB"/>
        </w:rPr>
        <w:drawing>
          <wp:inline distT="0" distB="0" distL="0" distR="0" wp14:anchorId="6449D921" wp14:editId="63F53F2D">
            <wp:extent cx="1708150" cy="584486"/>
            <wp:effectExtent l="0" t="0" r="6350" b="6350"/>
            <wp:docPr id="1" name="Picture 1" descr="Z:\Sarah\Sarah Signature.jpg Signature to sign of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Sarah\Sarah Signature.jpg Signature to sign off docu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886" cy="590213"/>
                    </a:xfrm>
                    <a:prstGeom prst="rect">
                      <a:avLst/>
                    </a:prstGeom>
                    <a:noFill/>
                    <a:ln>
                      <a:noFill/>
                    </a:ln>
                  </pic:spPr>
                </pic:pic>
              </a:graphicData>
            </a:graphic>
          </wp:inline>
        </w:drawing>
      </w:r>
    </w:p>
    <w:p w14:paraId="2CFF0426" w14:textId="162A18D1"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4D3ACE">
        <w:rPr>
          <w:rFonts w:cs="Calibri"/>
          <w:sz w:val="24"/>
          <w:szCs w:val="24"/>
        </w:rPr>
        <w:t xml:space="preserve"> 22/09/2025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5D2C" w14:textId="77777777" w:rsidR="009E6FA9" w:rsidRDefault="009E6FA9" w:rsidP="00A77DB4">
      <w:pPr>
        <w:spacing w:after="0" w:line="240" w:lineRule="auto"/>
      </w:pPr>
      <w:r>
        <w:separator/>
      </w:r>
    </w:p>
  </w:endnote>
  <w:endnote w:type="continuationSeparator" w:id="0">
    <w:p w14:paraId="1D80D43B" w14:textId="77777777" w:rsidR="009E6FA9" w:rsidRDefault="009E6FA9"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04D8" w14:textId="77777777" w:rsidR="009E6FA9" w:rsidRDefault="009E6FA9" w:rsidP="00A77DB4">
      <w:pPr>
        <w:spacing w:after="0" w:line="240" w:lineRule="auto"/>
      </w:pPr>
      <w:r>
        <w:separator/>
      </w:r>
    </w:p>
  </w:footnote>
  <w:footnote w:type="continuationSeparator" w:id="0">
    <w:p w14:paraId="280065DB" w14:textId="77777777" w:rsidR="009E6FA9" w:rsidRDefault="009E6FA9"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101D1"/>
    <w:multiLevelType w:val="hybridMultilevel"/>
    <w:tmpl w:val="B7805E6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B735B8"/>
    <w:multiLevelType w:val="hybridMultilevel"/>
    <w:tmpl w:val="18D2B8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4"/>
  </w:num>
  <w:num w:numId="2" w16cid:durableId="1173688380">
    <w:abstractNumId w:val="1"/>
  </w:num>
  <w:num w:numId="3" w16cid:durableId="2013871837">
    <w:abstractNumId w:val="5"/>
  </w:num>
  <w:num w:numId="4" w16cid:durableId="1412698393">
    <w:abstractNumId w:val="3"/>
  </w:num>
  <w:num w:numId="5" w16cid:durableId="817377454">
    <w:abstractNumId w:val="13"/>
  </w:num>
  <w:num w:numId="6" w16cid:durableId="1197236834">
    <w:abstractNumId w:val="10"/>
  </w:num>
  <w:num w:numId="7" w16cid:durableId="265577048">
    <w:abstractNumId w:val="14"/>
  </w:num>
  <w:num w:numId="8" w16cid:durableId="351299595">
    <w:abstractNumId w:val="12"/>
  </w:num>
  <w:num w:numId="9" w16cid:durableId="1134564130">
    <w:abstractNumId w:val="7"/>
  </w:num>
  <w:num w:numId="10" w16cid:durableId="1140732636">
    <w:abstractNumId w:val="6"/>
  </w:num>
  <w:num w:numId="11" w16cid:durableId="1510101247">
    <w:abstractNumId w:val="9"/>
  </w:num>
  <w:num w:numId="12" w16cid:durableId="492334166">
    <w:abstractNumId w:val="11"/>
  </w:num>
  <w:num w:numId="13" w16cid:durableId="2019385636">
    <w:abstractNumId w:val="0"/>
  </w:num>
  <w:num w:numId="14" w16cid:durableId="390201895">
    <w:abstractNumId w:val="8"/>
  </w:num>
  <w:num w:numId="15" w16cid:durableId="148655426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0207B"/>
    <w:rsid w:val="00014301"/>
    <w:rsid w:val="00014F1D"/>
    <w:rsid w:val="0002011F"/>
    <w:rsid w:val="000229A9"/>
    <w:rsid w:val="00023B3F"/>
    <w:rsid w:val="00026E29"/>
    <w:rsid w:val="00030F06"/>
    <w:rsid w:val="00032999"/>
    <w:rsid w:val="00032DF4"/>
    <w:rsid w:val="00032F3D"/>
    <w:rsid w:val="000434BD"/>
    <w:rsid w:val="000435E6"/>
    <w:rsid w:val="0004423B"/>
    <w:rsid w:val="00044A44"/>
    <w:rsid w:val="0004541B"/>
    <w:rsid w:val="00046285"/>
    <w:rsid w:val="00050089"/>
    <w:rsid w:val="000657B5"/>
    <w:rsid w:val="000666EF"/>
    <w:rsid w:val="00070881"/>
    <w:rsid w:val="0008437B"/>
    <w:rsid w:val="00086833"/>
    <w:rsid w:val="00087210"/>
    <w:rsid w:val="00091BB7"/>
    <w:rsid w:val="000925FB"/>
    <w:rsid w:val="0009551D"/>
    <w:rsid w:val="000A00EE"/>
    <w:rsid w:val="000A7DF2"/>
    <w:rsid w:val="000B30FB"/>
    <w:rsid w:val="000B577E"/>
    <w:rsid w:val="000B5B7F"/>
    <w:rsid w:val="000B5F22"/>
    <w:rsid w:val="000B651E"/>
    <w:rsid w:val="000B6752"/>
    <w:rsid w:val="000C2BD8"/>
    <w:rsid w:val="000C4A1A"/>
    <w:rsid w:val="000D003A"/>
    <w:rsid w:val="000D027D"/>
    <w:rsid w:val="000D177A"/>
    <w:rsid w:val="000D6668"/>
    <w:rsid w:val="000D6D64"/>
    <w:rsid w:val="000E5D90"/>
    <w:rsid w:val="000E62C4"/>
    <w:rsid w:val="000E7081"/>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57556"/>
    <w:rsid w:val="001606DC"/>
    <w:rsid w:val="00160D43"/>
    <w:rsid w:val="00161A68"/>
    <w:rsid w:val="001654B1"/>
    <w:rsid w:val="00165CCD"/>
    <w:rsid w:val="00166130"/>
    <w:rsid w:val="00175AA3"/>
    <w:rsid w:val="00184394"/>
    <w:rsid w:val="001939CE"/>
    <w:rsid w:val="001A6483"/>
    <w:rsid w:val="001A6D33"/>
    <w:rsid w:val="001C27F8"/>
    <w:rsid w:val="001C2CA2"/>
    <w:rsid w:val="001C7DA2"/>
    <w:rsid w:val="001D1EDF"/>
    <w:rsid w:val="001D2710"/>
    <w:rsid w:val="001D4061"/>
    <w:rsid w:val="001D4B2D"/>
    <w:rsid w:val="001D4C04"/>
    <w:rsid w:val="001E0957"/>
    <w:rsid w:val="001E1AAC"/>
    <w:rsid w:val="001E29C6"/>
    <w:rsid w:val="001E2B50"/>
    <w:rsid w:val="001F0D2C"/>
    <w:rsid w:val="001F3C24"/>
    <w:rsid w:val="001F5354"/>
    <w:rsid w:val="002032E6"/>
    <w:rsid w:val="002067E4"/>
    <w:rsid w:val="00206DB8"/>
    <w:rsid w:val="0021407E"/>
    <w:rsid w:val="0022365F"/>
    <w:rsid w:val="00226592"/>
    <w:rsid w:val="0023341A"/>
    <w:rsid w:val="0023363C"/>
    <w:rsid w:val="00243D37"/>
    <w:rsid w:val="00247E5A"/>
    <w:rsid w:val="00252C24"/>
    <w:rsid w:val="00257E12"/>
    <w:rsid w:val="00262046"/>
    <w:rsid w:val="00264F94"/>
    <w:rsid w:val="00265017"/>
    <w:rsid w:val="002701EB"/>
    <w:rsid w:val="00271C67"/>
    <w:rsid w:val="00275CFF"/>
    <w:rsid w:val="00276A39"/>
    <w:rsid w:val="00281CC8"/>
    <w:rsid w:val="00282807"/>
    <w:rsid w:val="002835AD"/>
    <w:rsid w:val="00283A3C"/>
    <w:rsid w:val="0029174C"/>
    <w:rsid w:val="00292E77"/>
    <w:rsid w:val="00293318"/>
    <w:rsid w:val="00297E34"/>
    <w:rsid w:val="002A18B2"/>
    <w:rsid w:val="002A38D8"/>
    <w:rsid w:val="002B25F6"/>
    <w:rsid w:val="002B3943"/>
    <w:rsid w:val="002B4154"/>
    <w:rsid w:val="002B45C4"/>
    <w:rsid w:val="002B59A4"/>
    <w:rsid w:val="002B6178"/>
    <w:rsid w:val="002B7A91"/>
    <w:rsid w:val="002C1C4F"/>
    <w:rsid w:val="002C63AE"/>
    <w:rsid w:val="002C7886"/>
    <w:rsid w:val="002D1F64"/>
    <w:rsid w:val="002D24D8"/>
    <w:rsid w:val="002E19CE"/>
    <w:rsid w:val="002E6B6F"/>
    <w:rsid w:val="002F01AD"/>
    <w:rsid w:val="002F381A"/>
    <w:rsid w:val="002F38C3"/>
    <w:rsid w:val="002F4F2E"/>
    <w:rsid w:val="0030304A"/>
    <w:rsid w:val="003141AE"/>
    <w:rsid w:val="00325F32"/>
    <w:rsid w:val="00327623"/>
    <w:rsid w:val="0033727B"/>
    <w:rsid w:val="00341B25"/>
    <w:rsid w:val="003424C6"/>
    <w:rsid w:val="00343EFF"/>
    <w:rsid w:val="00344E03"/>
    <w:rsid w:val="00345ECF"/>
    <w:rsid w:val="00346223"/>
    <w:rsid w:val="0034777E"/>
    <w:rsid w:val="00352B27"/>
    <w:rsid w:val="003552FD"/>
    <w:rsid w:val="00355B03"/>
    <w:rsid w:val="00361336"/>
    <w:rsid w:val="00370EA1"/>
    <w:rsid w:val="003716CE"/>
    <w:rsid w:val="00373339"/>
    <w:rsid w:val="00373F8A"/>
    <w:rsid w:val="00374628"/>
    <w:rsid w:val="00377786"/>
    <w:rsid w:val="00381191"/>
    <w:rsid w:val="00382190"/>
    <w:rsid w:val="003845CC"/>
    <w:rsid w:val="0039103F"/>
    <w:rsid w:val="003A5C33"/>
    <w:rsid w:val="003A66EE"/>
    <w:rsid w:val="003C2AD1"/>
    <w:rsid w:val="003C45CF"/>
    <w:rsid w:val="003C6379"/>
    <w:rsid w:val="003C684C"/>
    <w:rsid w:val="003D5404"/>
    <w:rsid w:val="003D5D52"/>
    <w:rsid w:val="003D6C30"/>
    <w:rsid w:val="003D74D9"/>
    <w:rsid w:val="003D7825"/>
    <w:rsid w:val="003E14FB"/>
    <w:rsid w:val="003F5487"/>
    <w:rsid w:val="003F553F"/>
    <w:rsid w:val="003F593B"/>
    <w:rsid w:val="003F6ABB"/>
    <w:rsid w:val="004005E1"/>
    <w:rsid w:val="0040285E"/>
    <w:rsid w:val="0040516B"/>
    <w:rsid w:val="00406311"/>
    <w:rsid w:val="004074B0"/>
    <w:rsid w:val="004169CA"/>
    <w:rsid w:val="00417A7E"/>
    <w:rsid w:val="00427041"/>
    <w:rsid w:val="004300C6"/>
    <w:rsid w:val="004313BF"/>
    <w:rsid w:val="00432780"/>
    <w:rsid w:val="00435C11"/>
    <w:rsid w:val="00436F95"/>
    <w:rsid w:val="00445095"/>
    <w:rsid w:val="00445534"/>
    <w:rsid w:val="00445DB8"/>
    <w:rsid w:val="00451050"/>
    <w:rsid w:val="004515FD"/>
    <w:rsid w:val="00460B69"/>
    <w:rsid w:val="00463530"/>
    <w:rsid w:val="00463CD4"/>
    <w:rsid w:val="00464A6E"/>
    <w:rsid w:val="00465A0A"/>
    <w:rsid w:val="004720D9"/>
    <w:rsid w:val="004724FE"/>
    <w:rsid w:val="004817D2"/>
    <w:rsid w:val="004857DA"/>
    <w:rsid w:val="00487E60"/>
    <w:rsid w:val="00494224"/>
    <w:rsid w:val="004A1795"/>
    <w:rsid w:val="004A31B5"/>
    <w:rsid w:val="004A7B01"/>
    <w:rsid w:val="004B4CF7"/>
    <w:rsid w:val="004B4D25"/>
    <w:rsid w:val="004B6E22"/>
    <w:rsid w:val="004C09EC"/>
    <w:rsid w:val="004C5772"/>
    <w:rsid w:val="004C6343"/>
    <w:rsid w:val="004D0224"/>
    <w:rsid w:val="004D2BDD"/>
    <w:rsid w:val="004D3ACE"/>
    <w:rsid w:val="004D6C68"/>
    <w:rsid w:val="004E0A3A"/>
    <w:rsid w:val="004E0FAD"/>
    <w:rsid w:val="004E4982"/>
    <w:rsid w:val="004E5AC4"/>
    <w:rsid w:val="004E602A"/>
    <w:rsid w:val="004F092F"/>
    <w:rsid w:val="004F45EF"/>
    <w:rsid w:val="004F728F"/>
    <w:rsid w:val="00500FE4"/>
    <w:rsid w:val="00501D38"/>
    <w:rsid w:val="00504F68"/>
    <w:rsid w:val="00515890"/>
    <w:rsid w:val="0052102C"/>
    <w:rsid w:val="005254ED"/>
    <w:rsid w:val="00530698"/>
    <w:rsid w:val="00531AF9"/>
    <w:rsid w:val="00537EE4"/>
    <w:rsid w:val="005433F1"/>
    <w:rsid w:val="00543D89"/>
    <w:rsid w:val="00544EB7"/>
    <w:rsid w:val="00551DD1"/>
    <w:rsid w:val="0055427A"/>
    <w:rsid w:val="00567CE7"/>
    <w:rsid w:val="00570412"/>
    <w:rsid w:val="00570582"/>
    <w:rsid w:val="005718E8"/>
    <w:rsid w:val="005821CC"/>
    <w:rsid w:val="005827E8"/>
    <w:rsid w:val="00587975"/>
    <w:rsid w:val="00590DDF"/>
    <w:rsid w:val="00595AF9"/>
    <w:rsid w:val="00596B0E"/>
    <w:rsid w:val="005A1325"/>
    <w:rsid w:val="005A2279"/>
    <w:rsid w:val="005A62BB"/>
    <w:rsid w:val="005A64F1"/>
    <w:rsid w:val="005A7099"/>
    <w:rsid w:val="005B0125"/>
    <w:rsid w:val="005B676A"/>
    <w:rsid w:val="005B67FF"/>
    <w:rsid w:val="005B6EC7"/>
    <w:rsid w:val="005B7470"/>
    <w:rsid w:val="005C1411"/>
    <w:rsid w:val="005C45F8"/>
    <w:rsid w:val="005C6992"/>
    <w:rsid w:val="005C6A03"/>
    <w:rsid w:val="005D1FF1"/>
    <w:rsid w:val="005D6034"/>
    <w:rsid w:val="005D678B"/>
    <w:rsid w:val="005D7A37"/>
    <w:rsid w:val="005E08DF"/>
    <w:rsid w:val="005E1F3D"/>
    <w:rsid w:val="005E6B4A"/>
    <w:rsid w:val="005F3B93"/>
    <w:rsid w:val="005F692B"/>
    <w:rsid w:val="0060255C"/>
    <w:rsid w:val="00603718"/>
    <w:rsid w:val="00604EC4"/>
    <w:rsid w:val="00604F96"/>
    <w:rsid w:val="00605F1C"/>
    <w:rsid w:val="00606DCF"/>
    <w:rsid w:val="0061176D"/>
    <w:rsid w:val="006122A4"/>
    <w:rsid w:val="00613937"/>
    <w:rsid w:val="00625420"/>
    <w:rsid w:val="00630852"/>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818D9"/>
    <w:rsid w:val="00692152"/>
    <w:rsid w:val="00696F35"/>
    <w:rsid w:val="006A0408"/>
    <w:rsid w:val="006A07DE"/>
    <w:rsid w:val="006A50E0"/>
    <w:rsid w:val="006A5E5D"/>
    <w:rsid w:val="006B1410"/>
    <w:rsid w:val="006B5289"/>
    <w:rsid w:val="006C0828"/>
    <w:rsid w:val="006C2430"/>
    <w:rsid w:val="006C52E6"/>
    <w:rsid w:val="006C5FF0"/>
    <w:rsid w:val="006C7E66"/>
    <w:rsid w:val="006D098A"/>
    <w:rsid w:val="006E0B50"/>
    <w:rsid w:val="006E31A6"/>
    <w:rsid w:val="006E6941"/>
    <w:rsid w:val="006E76F4"/>
    <w:rsid w:val="006F2C50"/>
    <w:rsid w:val="006F4A49"/>
    <w:rsid w:val="006F5DF1"/>
    <w:rsid w:val="006F5E3E"/>
    <w:rsid w:val="00700DA1"/>
    <w:rsid w:val="00706E5A"/>
    <w:rsid w:val="00733913"/>
    <w:rsid w:val="007377EA"/>
    <w:rsid w:val="00741310"/>
    <w:rsid w:val="007529EE"/>
    <w:rsid w:val="0075563C"/>
    <w:rsid w:val="00756393"/>
    <w:rsid w:val="0076353E"/>
    <w:rsid w:val="007712D0"/>
    <w:rsid w:val="00773A02"/>
    <w:rsid w:val="00782072"/>
    <w:rsid w:val="007826AC"/>
    <w:rsid w:val="00784696"/>
    <w:rsid w:val="00793CAD"/>
    <w:rsid w:val="00795AFD"/>
    <w:rsid w:val="007A6737"/>
    <w:rsid w:val="007A723E"/>
    <w:rsid w:val="007A7968"/>
    <w:rsid w:val="007B1159"/>
    <w:rsid w:val="007C0AF6"/>
    <w:rsid w:val="007C7956"/>
    <w:rsid w:val="007D07CB"/>
    <w:rsid w:val="007D54B6"/>
    <w:rsid w:val="007E0E8C"/>
    <w:rsid w:val="007F6601"/>
    <w:rsid w:val="007F6B3A"/>
    <w:rsid w:val="00801046"/>
    <w:rsid w:val="008010E5"/>
    <w:rsid w:val="00811935"/>
    <w:rsid w:val="00813729"/>
    <w:rsid w:val="008142DA"/>
    <w:rsid w:val="00815B0A"/>
    <w:rsid w:val="00817836"/>
    <w:rsid w:val="0081783F"/>
    <w:rsid w:val="00841E80"/>
    <w:rsid w:val="00842BF1"/>
    <w:rsid w:val="0084441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7B11"/>
    <w:rsid w:val="008D30B4"/>
    <w:rsid w:val="008E593F"/>
    <w:rsid w:val="008E5CD5"/>
    <w:rsid w:val="008F1B6D"/>
    <w:rsid w:val="008F3C0F"/>
    <w:rsid w:val="008F6058"/>
    <w:rsid w:val="009007F2"/>
    <w:rsid w:val="009036FC"/>
    <w:rsid w:val="0090632D"/>
    <w:rsid w:val="00914124"/>
    <w:rsid w:val="00920944"/>
    <w:rsid w:val="00926681"/>
    <w:rsid w:val="00930F5C"/>
    <w:rsid w:val="00951B05"/>
    <w:rsid w:val="00953089"/>
    <w:rsid w:val="00954EF3"/>
    <w:rsid w:val="00957978"/>
    <w:rsid w:val="009613F1"/>
    <w:rsid w:val="00964026"/>
    <w:rsid w:val="0096612F"/>
    <w:rsid w:val="0097677C"/>
    <w:rsid w:val="00977C42"/>
    <w:rsid w:val="0098400F"/>
    <w:rsid w:val="00987B82"/>
    <w:rsid w:val="009912EC"/>
    <w:rsid w:val="00993249"/>
    <w:rsid w:val="009A1E75"/>
    <w:rsid w:val="009A2EF3"/>
    <w:rsid w:val="009B144E"/>
    <w:rsid w:val="009B1B5A"/>
    <w:rsid w:val="009B1EBC"/>
    <w:rsid w:val="009B2683"/>
    <w:rsid w:val="009B3E00"/>
    <w:rsid w:val="009C1B3D"/>
    <w:rsid w:val="009C45CF"/>
    <w:rsid w:val="009D17FB"/>
    <w:rsid w:val="009D25A0"/>
    <w:rsid w:val="009D5FBE"/>
    <w:rsid w:val="009E1889"/>
    <w:rsid w:val="009E28B6"/>
    <w:rsid w:val="009E488F"/>
    <w:rsid w:val="009E6E62"/>
    <w:rsid w:val="009E6FA9"/>
    <w:rsid w:val="00A0117D"/>
    <w:rsid w:val="00A10E84"/>
    <w:rsid w:val="00A11E9C"/>
    <w:rsid w:val="00A12F5D"/>
    <w:rsid w:val="00A16A5C"/>
    <w:rsid w:val="00A20D9B"/>
    <w:rsid w:val="00A26AE5"/>
    <w:rsid w:val="00A27744"/>
    <w:rsid w:val="00A4032F"/>
    <w:rsid w:val="00A4100A"/>
    <w:rsid w:val="00A44D63"/>
    <w:rsid w:val="00A466FB"/>
    <w:rsid w:val="00A4714A"/>
    <w:rsid w:val="00A5036D"/>
    <w:rsid w:val="00A5140A"/>
    <w:rsid w:val="00A526F2"/>
    <w:rsid w:val="00A614D2"/>
    <w:rsid w:val="00A615D7"/>
    <w:rsid w:val="00A627FF"/>
    <w:rsid w:val="00A62A92"/>
    <w:rsid w:val="00A6347B"/>
    <w:rsid w:val="00A660D1"/>
    <w:rsid w:val="00A67C8C"/>
    <w:rsid w:val="00A77DB4"/>
    <w:rsid w:val="00A83265"/>
    <w:rsid w:val="00A8391C"/>
    <w:rsid w:val="00A90923"/>
    <w:rsid w:val="00A940DD"/>
    <w:rsid w:val="00A95B73"/>
    <w:rsid w:val="00A962FF"/>
    <w:rsid w:val="00AA31A6"/>
    <w:rsid w:val="00AA5380"/>
    <w:rsid w:val="00AA7FFB"/>
    <w:rsid w:val="00AB064F"/>
    <w:rsid w:val="00AB1C5C"/>
    <w:rsid w:val="00AB2046"/>
    <w:rsid w:val="00AB54B5"/>
    <w:rsid w:val="00AC0F08"/>
    <w:rsid w:val="00AD16ED"/>
    <w:rsid w:val="00AD199E"/>
    <w:rsid w:val="00AD29C0"/>
    <w:rsid w:val="00AD32A3"/>
    <w:rsid w:val="00AD676B"/>
    <w:rsid w:val="00AE1539"/>
    <w:rsid w:val="00AE15ED"/>
    <w:rsid w:val="00AF3496"/>
    <w:rsid w:val="00AF40F3"/>
    <w:rsid w:val="00B05B83"/>
    <w:rsid w:val="00B0778A"/>
    <w:rsid w:val="00B11DCC"/>
    <w:rsid w:val="00B23A38"/>
    <w:rsid w:val="00B24580"/>
    <w:rsid w:val="00B24D50"/>
    <w:rsid w:val="00B35B07"/>
    <w:rsid w:val="00B36D84"/>
    <w:rsid w:val="00B41BCC"/>
    <w:rsid w:val="00B4204A"/>
    <w:rsid w:val="00B427FC"/>
    <w:rsid w:val="00B444DB"/>
    <w:rsid w:val="00B44C13"/>
    <w:rsid w:val="00B4766C"/>
    <w:rsid w:val="00B67077"/>
    <w:rsid w:val="00B679C6"/>
    <w:rsid w:val="00B71DCC"/>
    <w:rsid w:val="00B73BCF"/>
    <w:rsid w:val="00B809A8"/>
    <w:rsid w:val="00B94AE8"/>
    <w:rsid w:val="00B97612"/>
    <w:rsid w:val="00BA2A63"/>
    <w:rsid w:val="00BA2CCF"/>
    <w:rsid w:val="00BA3260"/>
    <w:rsid w:val="00BA489A"/>
    <w:rsid w:val="00BA56B6"/>
    <w:rsid w:val="00BB0EE2"/>
    <w:rsid w:val="00BB6F0A"/>
    <w:rsid w:val="00BC56EE"/>
    <w:rsid w:val="00BD3FAA"/>
    <w:rsid w:val="00BE4470"/>
    <w:rsid w:val="00BE469D"/>
    <w:rsid w:val="00BE56DB"/>
    <w:rsid w:val="00BF1B35"/>
    <w:rsid w:val="00BF2156"/>
    <w:rsid w:val="00BF6B8C"/>
    <w:rsid w:val="00BF7279"/>
    <w:rsid w:val="00C00DDB"/>
    <w:rsid w:val="00C02751"/>
    <w:rsid w:val="00C036E0"/>
    <w:rsid w:val="00C1576C"/>
    <w:rsid w:val="00C162B9"/>
    <w:rsid w:val="00C17A58"/>
    <w:rsid w:val="00C204B1"/>
    <w:rsid w:val="00C2287E"/>
    <w:rsid w:val="00C22DD8"/>
    <w:rsid w:val="00C23A08"/>
    <w:rsid w:val="00C33A3F"/>
    <w:rsid w:val="00C36618"/>
    <w:rsid w:val="00C3767F"/>
    <w:rsid w:val="00C44848"/>
    <w:rsid w:val="00C44DCD"/>
    <w:rsid w:val="00C61B6F"/>
    <w:rsid w:val="00C626E1"/>
    <w:rsid w:val="00C64484"/>
    <w:rsid w:val="00C67259"/>
    <w:rsid w:val="00C72136"/>
    <w:rsid w:val="00C728C5"/>
    <w:rsid w:val="00C807A9"/>
    <w:rsid w:val="00C8388D"/>
    <w:rsid w:val="00C903B2"/>
    <w:rsid w:val="00C91E75"/>
    <w:rsid w:val="00C937AE"/>
    <w:rsid w:val="00C971F9"/>
    <w:rsid w:val="00C978BF"/>
    <w:rsid w:val="00CA08B6"/>
    <w:rsid w:val="00CA08BE"/>
    <w:rsid w:val="00CA4E46"/>
    <w:rsid w:val="00CB1419"/>
    <w:rsid w:val="00CB2573"/>
    <w:rsid w:val="00CB413F"/>
    <w:rsid w:val="00CB5DDE"/>
    <w:rsid w:val="00CB7306"/>
    <w:rsid w:val="00CB7CD4"/>
    <w:rsid w:val="00CC34B2"/>
    <w:rsid w:val="00CC3C94"/>
    <w:rsid w:val="00CE07B6"/>
    <w:rsid w:val="00CE1D01"/>
    <w:rsid w:val="00CE1DEA"/>
    <w:rsid w:val="00CE2A8F"/>
    <w:rsid w:val="00CF0B64"/>
    <w:rsid w:val="00CF1C8F"/>
    <w:rsid w:val="00CF1DC0"/>
    <w:rsid w:val="00CF65C9"/>
    <w:rsid w:val="00D00DC0"/>
    <w:rsid w:val="00D03FEB"/>
    <w:rsid w:val="00D057EA"/>
    <w:rsid w:val="00D06CA2"/>
    <w:rsid w:val="00D06D92"/>
    <w:rsid w:val="00D10492"/>
    <w:rsid w:val="00D22D0E"/>
    <w:rsid w:val="00D231B8"/>
    <w:rsid w:val="00D23B7B"/>
    <w:rsid w:val="00D2412A"/>
    <w:rsid w:val="00D25551"/>
    <w:rsid w:val="00D326CB"/>
    <w:rsid w:val="00D32F1F"/>
    <w:rsid w:val="00D37015"/>
    <w:rsid w:val="00D40A20"/>
    <w:rsid w:val="00D424E8"/>
    <w:rsid w:val="00D46A5A"/>
    <w:rsid w:val="00D46B9E"/>
    <w:rsid w:val="00D47F1F"/>
    <w:rsid w:val="00D53091"/>
    <w:rsid w:val="00D54FB4"/>
    <w:rsid w:val="00D55FEC"/>
    <w:rsid w:val="00D624D9"/>
    <w:rsid w:val="00D64A10"/>
    <w:rsid w:val="00D6534E"/>
    <w:rsid w:val="00D667A7"/>
    <w:rsid w:val="00D737DA"/>
    <w:rsid w:val="00D7422F"/>
    <w:rsid w:val="00D83A65"/>
    <w:rsid w:val="00D855B6"/>
    <w:rsid w:val="00D91601"/>
    <w:rsid w:val="00D95197"/>
    <w:rsid w:val="00DA3127"/>
    <w:rsid w:val="00DA36B0"/>
    <w:rsid w:val="00DA46F8"/>
    <w:rsid w:val="00DA53BD"/>
    <w:rsid w:val="00DA5E59"/>
    <w:rsid w:val="00DA661D"/>
    <w:rsid w:val="00DB0201"/>
    <w:rsid w:val="00DB0289"/>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3045"/>
    <w:rsid w:val="00E6539F"/>
    <w:rsid w:val="00E711FA"/>
    <w:rsid w:val="00E724C5"/>
    <w:rsid w:val="00E739A4"/>
    <w:rsid w:val="00E83434"/>
    <w:rsid w:val="00E84ABF"/>
    <w:rsid w:val="00E86A66"/>
    <w:rsid w:val="00E93693"/>
    <w:rsid w:val="00E93DCA"/>
    <w:rsid w:val="00E963D4"/>
    <w:rsid w:val="00EA2587"/>
    <w:rsid w:val="00EA5C27"/>
    <w:rsid w:val="00EA65EB"/>
    <w:rsid w:val="00EA7097"/>
    <w:rsid w:val="00EA739E"/>
    <w:rsid w:val="00EB3C3B"/>
    <w:rsid w:val="00EB77DA"/>
    <w:rsid w:val="00EC18B7"/>
    <w:rsid w:val="00EC5525"/>
    <w:rsid w:val="00EC591E"/>
    <w:rsid w:val="00ED3D84"/>
    <w:rsid w:val="00EE2038"/>
    <w:rsid w:val="00EF05E5"/>
    <w:rsid w:val="00EF419F"/>
    <w:rsid w:val="00EF474E"/>
    <w:rsid w:val="00F04203"/>
    <w:rsid w:val="00F07697"/>
    <w:rsid w:val="00F10CF3"/>
    <w:rsid w:val="00F1279E"/>
    <w:rsid w:val="00F161E3"/>
    <w:rsid w:val="00F1687D"/>
    <w:rsid w:val="00F2159A"/>
    <w:rsid w:val="00F23F92"/>
    <w:rsid w:val="00F2430F"/>
    <w:rsid w:val="00F26DC4"/>
    <w:rsid w:val="00F36C85"/>
    <w:rsid w:val="00F401C0"/>
    <w:rsid w:val="00F4033B"/>
    <w:rsid w:val="00F4491E"/>
    <w:rsid w:val="00F47CC9"/>
    <w:rsid w:val="00F542A2"/>
    <w:rsid w:val="00F73EAF"/>
    <w:rsid w:val="00F81E2D"/>
    <w:rsid w:val="00F837D0"/>
    <w:rsid w:val="00F83E30"/>
    <w:rsid w:val="00F87AC1"/>
    <w:rsid w:val="00F9769F"/>
    <w:rsid w:val="00FA6453"/>
    <w:rsid w:val="00FB0A48"/>
    <w:rsid w:val="00FC1F9C"/>
    <w:rsid w:val="00FD62B2"/>
    <w:rsid w:val="00FD787F"/>
    <w:rsid w:val="00FE226A"/>
    <w:rsid w:val="00FE340F"/>
    <w:rsid w:val="00FE3D04"/>
    <w:rsid w:val="00FF0F89"/>
    <w:rsid w:val="00FF2514"/>
    <w:rsid w:val="00FF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character" w:styleId="UnresolvedMention">
    <w:name w:val="Unresolved Mention"/>
    <w:basedOn w:val="DefaultParagraphFont"/>
    <w:uiPriority w:val="99"/>
    <w:semiHidden/>
    <w:unhideWhenUsed/>
    <w:rsid w:val="00CB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Hall, Laura</cp:lastModifiedBy>
  <cp:revision>2</cp:revision>
  <cp:lastPrinted>2019-04-01T08:47:00Z</cp:lastPrinted>
  <dcterms:created xsi:type="dcterms:W3CDTF">2025-09-23T09:21:00Z</dcterms:created>
  <dcterms:modified xsi:type="dcterms:W3CDTF">2025-09-23T09:21:00Z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c029f1-7b6e-4e10-8282-fc5331153e31_Enabled">
    <vt:lpwstr>true</vt:lpwstr>
  </property>
  <property fmtid="{D5CDD505-2E9C-101B-9397-08002B2CF9AE}" pid="3" name="MSIP_Label_fbc029f1-7b6e-4e10-8282-fc5331153e31_SetDate">
    <vt:lpwstr>2025-08-07T08:43:10Z</vt:lpwstr>
  </property>
  <property fmtid="{D5CDD505-2E9C-101B-9397-08002B2CF9AE}" pid="4" name="MSIP_Label_fbc029f1-7b6e-4e10-8282-fc5331153e31_Method">
    <vt:lpwstr>Privileged</vt:lpwstr>
  </property>
  <property fmtid="{D5CDD505-2E9C-101B-9397-08002B2CF9AE}" pid="5" name="MSIP_Label_fbc029f1-7b6e-4e10-8282-fc5331153e31_Name">
    <vt:lpwstr>fbc029f1-7b6e-4e10-8282-fc5331153e31</vt:lpwstr>
  </property>
  <property fmtid="{D5CDD505-2E9C-101B-9397-08002B2CF9AE}" pid="6" name="MSIP_Label_fbc029f1-7b6e-4e10-8282-fc5331153e31_SiteId">
    <vt:lpwstr>37247798-f42c-42fd-8a37-d49c7128d36b</vt:lpwstr>
  </property>
  <property fmtid="{D5CDD505-2E9C-101B-9397-08002B2CF9AE}" pid="7" name="MSIP_Label_fbc029f1-7b6e-4e10-8282-fc5331153e31_ActionId">
    <vt:lpwstr>a421407c-b3eb-4223-8d54-e1fda1200fe6</vt:lpwstr>
  </property>
  <property fmtid="{D5CDD505-2E9C-101B-9397-08002B2CF9AE}" pid="8" name="MSIP_Label_fbc029f1-7b6e-4e10-8282-fc5331153e31_ContentBits">
    <vt:lpwstr>0</vt:lpwstr>
  </property>
  <property fmtid="{D5CDD505-2E9C-101B-9397-08002B2CF9AE}" pid="9" name="MSIP_Label_fbc029f1-7b6e-4e10-8282-fc5331153e31_Tag">
    <vt:lpwstr>10, 0, 1, 1</vt:lpwstr>
  </property>
</Properties>
</file>